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0936F" w14:textId="48BDBA09" w:rsidR="003A462E" w:rsidRPr="009A552D" w:rsidRDefault="009A552D" w:rsidP="005F3747">
      <w:pPr>
        <w:rPr>
          <w:color w:val="002060"/>
          <w:sz w:val="28"/>
          <w:szCs w:val="28"/>
        </w:rPr>
      </w:pPr>
      <w:r>
        <w:rPr>
          <w:b/>
          <w:color w:val="002060"/>
          <w:sz w:val="28"/>
          <w:szCs w:val="28"/>
        </w:rPr>
        <w:t>KOOSTÖÖPAKKUMISE VORM</w:t>
      </w:r>
      <w:r w:rsidR="00A003B5">
        <w:rPr>
          <w:b/>
          <w:color w:val="002060"/>
          <w:sz w:val="32"/>
          <w:szCs w:val="32"/>
        </w:rPr>
        <w:t xml:space="preserve"> </w:t>
      </w:r>
      <w:r w:rsidR="00A2713D" w:rsidRPr="00A965EF">
        <w:rPr>
          <w:b/>
          <w:color w:val="002060"/>
          <w:sz w:val="28"/>
          <w:szCs w:val="28"/>
        </w:rPr>
        <w:t xml:space="preserve"> </w:t>
      </w:r>
      <w:r>
        <w:rPr>
          <w:b/>
          <w:color w:val="002060"/>
          <w:sz w:val="28"/>
          <w:szCs w:val="28"/>
        </w:rPr>
        <w:t xml:space="preserve">- </w:t>
      </w:r>
      <w:r w:rsidRPr="009A552D">
        <w:rPr>
          <w:color w:val="002060"/>
          <w:sz w:val="28"/>
          <w:szCs w:val="28"/>
        </w:rPr>
        <w:t>strateegiline partnerlus poliitika kujundamisel</w:t>
      </w:r>
    </w:p>
    <w:tbl>
      <w:tblPr>
        <w:tblStyle w:val="Kontuurtabel"/>
        <w:tblW w:w="9628" w:type="dxa"/>
        <w:tblLook w:val="04A0" w:firstRow="1" w:lastRow="0" w:firstColumn="1" w:lastColumn="0" w:noHBand="0" w:noVBand="1"/>
      </w:tblPr>
      <w:tblGrid>
        <w:gridCol w:w="1980"/>
        <w:gridCol w:w="7648"/>
      </w:tblGrid>
      <w:tr w:rsidR="00AA51F7" w14:paraId="201F2B83" w14:textId="77777777" w:rsidTr="00CA1BBA">
        <w:tc>
          <w:tcPr>
            <w:tcW w:w="1980" w:type="dxa"/>
            <w:shd w:val="clear" w:color="auto" w:fill="D9E2F3" w:themeFill="accent5" w:themeFillTint="33"/>
          </w:tcPr>
          <w:p w14:paraId="5CE6DB16" w14:textId="2D97E78F" w:rsidR="00AA51F7" w:rsidRPr="003A462E" w:rsidRDefault="00AA51F7" w:rsidP="0068292C">
            <w:pPr>
              <w:spacing w:after="120"/>
              <w:rPr>
                <w:b/>
                <w:i/>
                <w:color w:val="002060"/>
              </w:rPr>
            </w:pPr>
            <w:commentRangeStart w:id="0"/>
            <w:r>
              <w:rPr>
                <w:b/>
                <w:i/>
                <w:color w:val="002060"/>
              </w:rPr>
              <w:t>1.</w:t>
            </w:r>
            <w:commentRangeEnd w:id="0"/>
            <w:r w:rsidR="00CA1BBA">
              <w:rPr>
                <w:rStyle w:val="Kommentaariviide"/>
              </w:rPr>
              <w:commentReference w:id="0"/>
            </w:r>
            <w:r>
              <w:rPr>
                <w:b/>
                <w:i/>
                <w:color w:val="002060"/>
              </w:rPr>
              <w:t xml:space="preserve"> Organisatsiooni nimi</w:t>
            </w:r>
          </w:p>
        </w:tc>
        <w:tc>
          <w:tcPr>
            <w:tcW w:w="7648" w:type="dxa"/>
          </w:tcPr>
          <w:p w14:paraId="1F6FD3DB" w14:textId="27865125" w:rsidR="007368C9" w:rsidRPr="000C7635" w:rsidRDefault="00AA51F7" w:rsidP="00AB7910">
            <w:pPr>
              <w:spacing w:after="120"/>
            </w:pPr>
            <w:r>
              <w:t>…</w:t>
            </w:r>
          </w:p>
        </w:tc>
      </w:tr>
      <w:tr w:rsidR="00AA51F7" w14:paraId="7184EE5B" w14:textId="77777777" w:rsidTr="00D44E53">
        <w:tc>
          <w:tcPr>
            <w:tcW w:w="9628" w:type="dxa"/>
            <w:gridSpan w:val="2"/>
            <w:shd w:val="clear" w:color="auto" w:fill="D9E2F3" w:themeFill="accent5" w:themeFillTint="33"/>
          </w:tcPr>
          <w:p w14:paraId="159ADFB5" w14:textId="078C1DCE" w:rsidR="00AA51F7" w:rsidRPr="00A2713D" w:rsidRDefault="00AA51F7" w:rsidP="00FB68C5">
            <w:pPr>
              <w:spacing w:after="120"/>
              <w:rPr>
                <w:b/>
                <w:i/>
                <w:color w:val="002060"/>
              </w:rPr>
            </w:pPr>
            <w:r w:rsidRPr="003A462E">
              <w:rPr>
                <w:b/>
                <w:i/>
                <w:color w:val="002060"/>
              </w:rPr>
              <w:t>2. Põhikirjaline eesmärk</w:t>
            </w:r>
          </w:p>
        </w:tc>
      </w:tr>
      <w:tr w:rsidR="00AA51F7" w14:paraId="5F1268C3" w14:textId="77777777" w:rsidTr="00D44E53">
        <w:tc>
          <w:tcPr>
            <w:tcW w:w="9628" w:type="dxa"/>
            <w:gridSpan w:val="2"/>
          </w:tcPr>
          <w:p w14:paraId="37E89CB2" w14:textId="77777777" w:rsidR="00CA1BBA" w:rsidRDefault="00AA51F7" w:rsidP="002725DC">
            <w:pPr>
              <w:spacing w:after="120"/>
            </w:pPr>
            <w:r>
              <w:t>…</w:t>
            </w:r>
          </w:p>
          <w:p w14:paraId="4D44AFA0" w14:textId="323BB702" w:rsidR="00AA51F7" w:rsidRPr="00CA1BBA" w:rsidRDefault="00AA51F7" w:rsidP="002725DC">
            <w:pPr>
              <w:spacing w:after="120"/>
            </w:pPr>
          </w:p>
        </w:tc>
      </w:tr>
      <w:tr w:rsidR="00AA51F7" w14:paraId="3AE080FE" w14:textId="77777777" w:rsidTr="00D44E53">
        <w:tc>
          <w:tcPr>
            <w:tcW w:w="9628" w:type="dxa"/>
            <w:gridSpan w:val="2"/>
            <w:shd w:val="clear" w:color="auto" w:fill="D9E2F3" w:themeFill="accent5" w:themeFillTint="33"/>
          </w:tcPr>
          <w:p w14:paraId="13B8FD77" w14:textId="77777777" w:rsidR="00AA51F7" w:rsidRDefault="00AA51F7" w:rsidP="00FB68C5">
            <w:pPr>
              <w:spacing w:after="120"/>
            </w:pPr>
            <w:commentRangeStart w:id="1"/>
            <w:r>
              <w:rPr>
                <w:b/>
                <w:i/>
                <w:color w:val="002060"/>
              </w:rPr>
              <w:t>3.</w:t>
            </w:r>
            <w:commentRangeEnd w:id="1"/>
            <w:r w:rsidR="00CA1BBA">
              <w:rPr>
                <w:rStyle w:val="Kommentaariviide"/>
              </w:rPr>
              <w:commentReference w:id="1"/>
            </w:r>
            <w:r>
              <w:rPr>
                <w:b/>
                <w:i/>
                <w:color w:val="002060"/>
              </w:rPr>
              <w:t xml:space="preserve"> L</w:t>
            </w:r>
            <w:r w:rsidRPr="003A462E">
              <w:rPr>
                <w:b/>
                <w:i/>
                <w:color w:val="002060"/>
              </w:rPr>
              <w:t>iikmeskonna (ja</w:t>
            </w:r>
            <w:r>
              <w:rPr>
                <w:b/>
                <w:i/>
                <w:color w:val="002060"/>
              </w:rPr>
              <w:t>/või</w:t>
            </w:r>
            <w:r w:rsidRPr="003A462E">
              <w:rPr>
                <w:b/>
                <w:i/>
                <w:color w:val="002060"/>
              </w:rPr>
              <w:t xml:space="preserve"> esindatava huvirühma) suurus</w:t>
            </w:r>
            <w:r w:rsidRPr="001D6211">
              <w:rPr>
                <w:i/>
                <w:color w:val="002060"/>
              </w:rPr>
              <w:t>, sh eristades organisatsioone ja üksikisikuid</w:t>
            </w:r>
          </w:p>
        </w:tc>
      </w:tr>
      <w:tr w:rsidR="00AA51F7" w14:paraId="57DF2500" w14:textId="77777777" w:rsidTr="00D44E53">
        <w:tc>
          <w:tcPr>
            <w:tcW w:w="9628" w:type="dxa"/>
            <w:gridSpan w:val="2"/>
          </w:tcPr>
          <w:p w14:paraId="51C1640B" w14:textId="77777777" w:rsidR="00AA51F7" w:rsidRDefault="00AA51F7" w:rsidP="00FB68C5">
            <w:pPr>
              <w:spacing w:after="120"/>
            </w:pPr>
            <w:r>
              <w:t>…</w:t>
            </w:r>
          </w:p>
          <w:p w14:paraId="367E1040" w14:textId="77777777" w:rsidR="00AA51F7" w:rsidRDefault="00AA51F7" w:rsidP="00FB68C5">
            <w:pPr>
              <w:spacing w:after="120"/>
              <w:rPr>
                <w:color w:val="808080" w:themeColor="background1" w:themeShade="80"/>
                <w:sz w:val="20"/>
                <w:szCs w:val="20"/>
              </w:rPr>
            </w:pPr>
            <w:r w:rsidRPr="00AB7910">
              <w:rPr>
                <w:color w:val="808080" w:themeColor="background1" w:themeShade="80"/>
                <w:sz w:val="20"/>
                <w:szCs w:val="20"/>
              </w:rPr>
              <w:t xml:space="preserve"> </w:t>
            </w:r>
          </w:p>
          <w:p w14:paraId="2F25CABB" w14:textId="6A861FC7" w:rsidR="000C7635" w:rsidRPr="00C433D2" w:rsidRDefault="000C7635" w:rsidP="00FB68C5">
            <w:pPr>
              <w:spacing w:after="120"/>
              <w:rPr>
                <w:sz w:val="20"/>
                <w:szCs w:val="20"/>
              </w:rPr>
            </w:pPr>
          </w:p>
        </w:tc>
      </w:tr>
      <w:tr w:rsidR="0004740B" w14:paraId="249E0B8F" w14:textId="77777777" w:rsidTr="0004740B">
        <w:tc>
          <w:tcPr>
            <w:tcW w:w="9628" w:type="dxa"/>
            <w:gridSpan w:val="2"/>
            <w:shd w:val="clear" w:color="auto" w:fill="D9E2F3" w:themeFill="accent5" w:themeFillTint="33"/>
          </w:tcPr>
          <w:p w14:paraId="7C50035D" w14:textId="7199FAB7" w:rsidR="0004740B" w:rsidRDefault="00C417A9" w:rsidP="00FE0FFD">
            <w:pPr>
              <w:spacing w:after="120"/>
            </w:pPr>
            <w:commentRangeStart w:id="2"/>
            <w:r>
              <w:rPr>
                <w:b/>
                <w:i/>
                <w:color w:val="002060"/>
              </w:rPr>
              <w:t>4</w:t>
            </w:r>
            <w:commentRangeEnd w:id="2"/>
            <w:r w:rsidR="000C7635">
              <w:rPr>
                <w:rStyle w:val="Kommentaariviide"/>
              </w:rPr>
              <w:commentReference w:id="2"/>
            </w:r>
            <w:r w:rsidR="0004740B">
              <w:rPr>
                <w:b/>
                <w:i/>
                <w:color w:val="002060"/>
              </w:rPr>
              <w:t>. Info- ja kaasamiskanal</w:t>
            </w:r>
            <w:r w:rsidR="0004740B" w:rsidRPr="001D6211">
              <w:rPr>
                <w:b/>
                <w:i/>
                <w:color w:val="002060"/>
              </w:rPr>
              <w:t>id liikmete ning avalikkuse teavitamiseks ja kaasamiseks</w:t>
            </w:r>
          </w:p>
        </w:tc>
      </w:tr>
      <w:tr w:rsidR="0004740B" w14:paraId="6A6F22E8" w14:textId="77777777" w:rsidTr="0004740B">
        <w:tc>
          <w:tcPr>
            <w:tcW w:w="9628" w:type="dxa"/>
            <w:gridSpan w:val="2"/>
          </w:tcPr>
          <w:p w14:paraId="5E2E41B1" w14:textId="77777777" w:rsidR="0004740B" w:rsidRDefault="0004740B" w:rsidP="00FE0FFD">
            <w:pPr>
              <w:spacing w:after="120"/>
            </w:pPr>
            <w:r>
              <w:t>…</w:t>
            </w:r>
          </w:p>
          <w:p w14:paraId="4059B0B4" w14:textId="4387E856" w:rsidR="0004740B" w:rsidRDefault="0004740B" w:rsidP="00FE0FFD">
            <w:pPr>
              <w:spacing w:after="120"/>
              <w:rPr>
                <w:sz w:val="20"/>
                <w:szCs w:val="20"/>
              </w:rPr>
            </w:pPr>
          </w:p>
          <w:p w14:paraId="4FE911BE" w14:textId="77777777" w:rsidR="000C7635" w:rsidRDefault="000C7635" w:rsidP="00FE0FFD">
            <w:pPr>
              <w:spacing w:after="120"/>
              <w:rPr>
                <w:sz w:val="20"/>
                <w:szCs w:val="20"/>
              </w:rPr>
            </w:pPr>
          </w:p>
          <w:p w14:paraId="2F9B0DDA" w14:textId="314BB489" w:rsidR="000C7635" w:rsidRPr="00C433D2" w:rsidRDefault="000C7635" w:rsidP="00FE0FFD">
            <w:pPr>
              <w:spacing w:after="120"/>
              <w:rPr>
                <w:sz w:val="20"/>
                <w:szCs w:val="20"/>
              </w:rPr>
            </w:pPr>
          </w:p>
        </w:tc>
      </w:tr>
      <w:tr w:rsidR="0004740B" w14:paraId="0E1E2A86" w14:textId="77777777" w:rsidTr="0004740B">
        <w:tc>
          <w:tcPr>
            <w:tcW w:w="9628" w:type="dxa"/>
            <w:gridSpan w:val="2"/>
            <w:shd w:val="clear" w:color="auto" w:fill="D9E2F3" w:themeFill="accent5" w:themeFillTint="33"/>
          </w:tcPr>
          <w:p w14:paraId="449B1FC2" w14:textId="13BD5236" w:rsidR="0004740B" w:rsidRDefault="00C417A9" w:rsidP="00FE0FFD">
            <w:pPr>
              <w:spacing w:after="120"/>
            </w:pPr>
            <w:commentRangeStart w:id="3"/>
            <w:r>
              <w:rPr>
                <w:b/>
                <w:i/>
                <w:color w:val="002060"/>
              </w:rPr>
              <w:t>5</w:t>
            </w:r>
            <w:commentRangeEnd w:id="3"/>
            <w:r w:rsidR="000C7635">
              <w:rPr>
                <w:rStyle w:val="Kommentaariviide"/>
              </w:rPr>
              <w:commentReference w:id="3"/>
            </w:r>
            <w:r w:rsidR="0004740B">
              <w:rPr>
                <w:b/>
                <w:i/>
                <w:color w:val="002060"/>
              </w:rPr>
              <w:t>. L</w:t>
            </w:r>
            <w:r w:rsidR="0004740B" w:rsidRPr="001D6211">
              <w:rPr>
                <w:b/>
                <w:i/>
                <w:color w:val="002060"/>
              </w:rPr>
              <w:t>iikmete arvamuste esitamise ja ühtsete seisukohtade kujundamise protses</w:t>
            </w:r>
            <w:r w:rsidR="0004740B">
              <w:rPr>
                <w:b/>
                <w:i/>
                <w:color w:val="002060"/>
              </w:rPr>
              <w:t>si kirjeldus</w:t>
            </w:r>
          </w:p>
        </w:tc>
      </w:tr>
      <w:tr w:rsidR="0004740B" w14:paraId="2A6A6335" w14:textId="77777777" w:rsidTr="0004740B">
        <w:tc>
          <w:tcPr>
            <w:tcW w:w="9628" w:type="dxa"/>
            <w:gridSpan w:val="2"/>
          </w:tcPr>
          <w:p w14:paraId="36521060" w14:textId="77777777" w:rsidR="0004740B" w:rsidRDefault="0004740B" w:rsidP="00FE0FFD">
            <w:pPr>
              <w:spacing w:after="120"/>
            </w:pPr>
            <w:r>
              <w:t>…</w:t>
            </w:r>
          </w:p>
          <w:p w14:paraId="5BCE686D" w14:textId="77777777" w:rsidR="0004740B" w:rsidRDefault="0004740B" w:rsidP="00FE0FFD">
            <w:pPr>
              <w:spacing w:after="120"/>
              <w:rPr>
                <w:sz w:val="20"/>
                <w:szCs w:val="20"/>
              </w:rPr>
            </w:pPr>
          </w:p>
          <w:p w14:paraId="05041EAB" w14:textId="77777777" w:rsidR="000C7635" w:rsidRDefault="000C7635" w:rsidP="00FE0FFD">
            <w:pPr>
              <w:spacing w:after="120"/>
              <w:rPr>
                <w:sz w:val="20"/>
                <w:szCs w:val="20"/>
              </w:rPr>
            </w:pPr>
          </w:p>
          <w:p w14:paraId="054B0779" w14:textId="760DA872" w:rsidR="000C7635" w:rsidRPr="00C433D2" w:rsidRDefault="000C7635" w:rsidP="00FE0FFD">
            <w:pPr>
              <w:spacing w:after="120"/>
              <w:rPr>
                <w:sz w:val="20"/>
                <w:szCs w:val="20"/>
              </w:rPr>
            </w:pPr>
          </w:p>
        </w:tc>
      </w:tr>
      <w:tr w:rsidR="00AA51F7" w14:paraId="56704A48" w14:textId="77777777" w:rsidTr="00D44E53">
        <w:tc>
          <w:tcPr>
            <w:tcW w:w="9628" w:type="dxa"/>
            <w:gridSpan w:val="2"/>
            <w:shd w:val="clear" w:color="auto" w:fill="D9E2F3" w:themeFill="accent5" w:themeFillTint="33"/>
          </w:tcPr>
          <w:p w14:paraId="6BDE9E6A" w14:textId="63C206BB" w:rsidR="00AA51F7" w:rsidRPr="00CA1BBA" w:rsidRDefault="00CA1BBA" w:rsidP="00AB7910">
            <w:pPr>
              <w:spacing w:after="120"/>
              <w:rPr>
                <w:b/>
                <w:i/>
                <w:color w:val="002060"/>
              </w:rPr>
            </w:pPr>
            <w:r>
              <w:rPr>
                <w:rStyle w:val="Kommentaariviide"/>
              </w:rPr>
              <w:commentReference w:id="4"/>
            </w:r>
            <w:r w:rsidR="00C417A9">
              <w:rPr>
                <w:b/>
                <w:i/>
                <w:color w:val="002060"/>
              </w:rPr>
              <w:t>6</w:t>
            </w:r>
            <w:r w:rsidR="00AA51F7">
              <w:rPr>
                <w:b/>
                <w:i/>
                <w:color w:val="002060"/>
              </w:rPr>
              <w:t xml:space="preserve">. Olulisemad poliitikamuudatused, mille osas organisatsioon soovib kaasa rääkida ning organisatsiooni nägemus koostööst ja oma panusest </w:t>
            </w:r>
            <w:r w:rsidR="00AA51F7" w:rsidRPr="00131AAE">
              <w:rPr>
                <w:b/>
                <w:i/>
                <w:color w:val="002060"/>
              </w:rPr>
              <w:t>uu(t)e arengukava(de) elluviimisel</w:t>
            </w:r>
          </w:p>
        </w:tc>
      </w:tr>
      <w:tr w:rsidR="00AC3B57" w14:paraId="2CB6AAB3" w14:textId="77777777" w:rsidTr="006019FE">
        <w:tc>
          <w:tcPr>
            <w:tcW w:w="9628" w:type="dxa"/>
            <w:gridSpan w:val="2"/>
            <w:shd w:val="clear" w:color="auto" w:fill="A8D08D" w:themeFill="accent6" w:themeFillTint="99"/>
          </w:tcPr>
          <w:p w14:paraId="0B112B4C" w14:textId="07CBEF22" w:rsidR="00AC3B57" w:rsidRPr="006019FE" w:rsidRDefault="00AC3B57" w:rsidP="00C417A9">
            <w:pPr>
              <w:spacing w:after="40"/>
              <w:rPr>
                <w:b/>
                <w:i/>
                <w:color w:val="002060"/>
                <w:sz w:val="24"/>
                <w:szCs w:val="24"/>
              </w:rPr>
            </w:pPr>
            <w:r w:rsidRPr="006019FE">
              <w:rPr>
                <w:b/>
                <w:bCs/>
                <w:color w:val="385623" w:themeColor="accent6" w:themeShade="80"/>
                <w:sz w:val="24"/>
                <w:szCs w:val="24"/>
              </w:rPr>
              <w:t xml:space="preserve">Prioriteet </w:t>
            </w:r>
            <w:r w:rsidRPr="006019FE">
              <w:rPr>
                <w:b/>
                <w:color w:val="385623" w:themeColor="accent6" w:themeShade="80"/>
                <w:sz w:val="24"/>
                <w:szCs w:val="24"/>
              </w:rPr>
              <w:t>1. Haridus- ja noortevaldkonna professionaalide järelkasv ja jätkusuutlikkus</w:t>
            </w:r>
          </w:p>
        </w:tc>
      </w:tr>
      <w:tr w:rsidR="00AC3B57" w14:paraId="662EAF34" w14:textId="77777777" w:rsidTr="006019FE">
        <w:tc>
          <w:tcPr>
            <w:tcW w:w="9628" w:type="dxa"/>
            <w:gridSpan w:val="2"/>
            <w:shd w:val="clear" w:color="auto" w:fill="E2EFD9" w:themeFill="accent6" w:themeFillTint="33"/>
          </w:tcPr>
          <w:p w14:paraId="1B853376" w14:textId="0DC044A9" w:rsidR="00627A61" w:rsidRPr="006019FE" w:rsidRDefault="00AC3B57" w:rsidP="00C417A9">
            <w:pPr>
              <w:spacing w:after="40"/>
              <w:rPr>
                <w:rFonts w:eastAsiaTheme="minorEastAsia"/>
                <w:b/>
                <w:color w:val="385623" w:themeColor="accent6" w:themeShade="80"/>
                <w:kern w:val="24"/>
              </w:rPr>
            </w:pPr>
            <w:r w:rsidRPr="006019FE">
              <w:rPr>
                <w:b/>
                <w:bCs/>
                <w:color w:val="385623" w:themeColor="accent6" w:themeShade="80"/>
              </w:rPr>
              <w:t>Fookus</w:t>
            </w:r>
            <w:r w:rsidRPr="006019FE">
              <w:rPr>
                <w:b/>
                <w:color w:val="385623" w:themeColor="accent6" w:themeShade="80"/>
              </w:rPr>
              <w:t xml:space="preserve"> </w:t>
            </w:r>
            <w:r w:rsidRPr="006019FE">
              <w:rPr>
                <w:rFonts w:eastAsiaTheme="minorEastAsia"/>
                <w:b/>
                <w:color w:val="385623" w:themeColor="accent6" w:themeShade="80"/>
                <w:kern w:val="24"/>
              </w:rPr>
              <w:t>1.1.</w:t>
            </w:r>
            <w:r w:rsidRPr="006019FE">
              <w:rPr>
                <w:rFonts w:eastAsiaTheme="minorEastAsia"/>
                <w:color w:val="385623" w:themeColor="accent6" w:themeShade="80"/>
                <w:kern w:val="24"/>
              </w:rPr>
              <w:t xml:space="preserve"> </w:t>
            </w:r>
            <w:r w:rsidRPr="006019FE">
              <w:rPr>
                <w:rFonts w:eastAsiaTheme="minorEastAsia"/>
                <w:b/>
                <w:color w:val="385623" w:themeColor="accent6" w:themeShade="80"/>
                <w:kern w:val="24"/>
              </w:rPr>
              <w:t>Õpetajate, noortevaldkonna töötajate ja haridusjuhtide karjäärimudel (sh värbamine, arendamine, vaimne tervis)</w:t>
            </w:r>
          </w:p>
          <w:p w14:paraId="55176F3B" w14:textId="32B87069" w:rsidR="00627A61" w:rsidRDefault="00627A61" w:rsidP="00C417A9">
            <w:pPr>
              <w:pStyle w:val="Loendilik"/>
              <w:numPr>
                <w:ilvl w:val="0"/>
                <w:numId w:val="14"/>
              </w:numPr>
              <w:spacing w:after="40"/>
              <w:contextualSpacing w:val="0"/>
              <w:jc w:val="both"/>
              <w:rPr>
                <w:rFonts w:eastAsiaTheme="minorEastAsia"/>
                <w:sz w:val="20"/>
                <w:szCs w:val="20"/>
              </w:rPr>
            </w:pPr>
            <w:r w:rsidRPr="00AC3B57">
              <w:rPr>
                <w:rFonts w:eastAsiaTheme="minorEastAsia"/>
                <w:b/>
                <w:bCs/>
                <w:sz w:val="20"/>
                <w:szCs w:val="20"/>
              </w:rPr>
              <w:t xml:space="preserve">Õpetajaameti väärtustamine ja õpetajate järelkasv. </w:t>
            </w:r>
            <w:r w:rsidRPr="00AC3B57">
              <w:rPr>
                <w:rFonts w:eastAsiaTheme="minorEastAsia"/>
                <w:sz w:val="20"/>
                <w:szCs w:val="20"/>
              </w:rPr>
              <w:t xml:space="preserve">Poliitika kujundamine õpetajate järelkasvu tegevuskava elluviimise kontekstis. Sh haridusjuhtide karjäärimudeli arendamine; alustavate õpetajate toetamine, õpetajate töö- ja </w:t>
            </w:r>
            <w:r w:rsidRPr="00AC3B57">
              <w:rPr>
                <w:rFonts w:eastAsiaTheme="minorEastAsia"/>
                <w:b/>
                <w:sz w:val="20"/>
                <w:szCs w:val="20"/>
              </w:rPr>
              <w:t>palgakorralduse</w:t>
            </w:r>
            <w:r w:rsidRPr="00AC3B57">
              <w:rPr>
                <w:rFonts w:eastAsiaTheme="minorEastAsia"/>
                <w:sz w:val="20"/>
                <w:szCs w:val="20"/>
              </w:rPr>
              <w:t xml:space="preserve"> kaasajastamine, õpetajaameti maine kujundamine; õpetajate esma- ja täiendusõppe süsteemi terviklik arendamine. </w:t>
            </w:r>
          </w:p>
          <w:p w14:paraId="4B7BC483" w14:textId="6425553B" w:rsidR="00AC3B57" w:rsidRPr="00627A61" w:rsidRDefault="00627A61" w:rsidP="00C417A9">
            <w:pPr>
              <w:pStyle w:val="Loendilik"/>
              <w:numPr>
                <w:ilvl w:val="0"/>
                <w:numId w:val="14"/>
              </w:numPr>
              <w:spacing w:after="40"/>
              <w:contextualSpacing w:val="0"/>
              <w:jc w:val="both"/>
              <w:rPr>
                <w:rFonts w:eastAsiaTheme="minorEastAsia"/>
                <w:sz w:val="20"/>
                <w:szCs w:val="20"/>
              </w:rPr>
            </w:pPr>
            <w:r w:rsidRPr="00627A61">
              <w:rPr>
                <w:b/>
                <w:bCs/>
                <w:sz w:val="20"/>
                <w:szCs w:val="20"/>
              </w:rPr>
              <w:t>Noortevaldkonna töötajate väärtustamise ja järelkasvu</w:t>
            </w:r>
            <w:r w:rsidRPr="00627A61">
              <w:rPr>
                <w:sz w:val="20"/>
                <w:szCs w:val="20"/>
              </w:rPr>
              <w:t xml:space="preserve"> kontseptsiooni tegevuskava koostamine, eesmärgiga luua alusraamistik valdkonnale töötajate heaolu, väärtustamise ja töötingimuste parandamiseks.</w:t>
            </w:r>
          </w:p>
        </w:tc>
      </w:tr>
      <w:tr w:rsidR="00AC3B57" w14:paraId="7BF36F19" w14:textId="77777777" w:rsidTr="006019FE">
        <w:tc>
          <w:tcPr>
            <w:tcW w:w="9628" w:type="dxa"/>
            <w:gridSpan w:val="2"/>
            <w:shd w:val="clear" w:color="auto" w:fill="E2EFD9" w:themeFill="accent6" w:themeFillTint="33"/>
          </w:tcPr>
          <w:p w14:paraId="7D31BEAC" w14:textId="77777777" w:rsidR="00627A61" w:rsidRPr="006019FE" w:rsidRDefault="00AC3B57" w:rsidP="00C417A9">
            <w:pPr>
              <w:spacing w:after="40"/>
              <w:rPr>
                <w:rFonts w:eastAsiaTheme="minorEastAsia" w:hAnsi="Calibri"/>
                <w:b/>
                <w:bCs/>
                <w:color w:val="385623" w:themeColor="accent6" w:themeShade="80"/>
                <w:kern w:val="24"/>
              </w:rPr>
            </w:pPr>
            <w:r w:rsidRPr="006019FE">
              <w:rPr>
                <w:rFonts w:eastAsiaTheme="minorEastAsia" w:hAnsi="Calibri"/>
                <w:b/>
                <w:bCs/>
                <w:color w:val="385623" w:themeColor="accent6" w:themeShade="80"/>
                <w:kern w:val="24"/>
              </w:rPr>
              <w:t>Fookus 1.3. Õpetajaks õppijad ja paindlikud õpetajaks õppimise viisid</w:t>
            </w:r>
          </w:p>
          <w:p w14:paraId="3720AF57" w14:textId="6CF251E9" w:rsidR="00AC3B57" w:rsidRDefault="00627A61" w:rsidP="00C417A9">
            <w:pPr>
              <w:pStyle w:val="Loendilik"/>
              <w:numPr>
                <w:ilvl w:val="0"/>
                <w:numId w:val="15"/>
              </w:numPr>
              <w:spacing w:after="40"/>
              <w:contextualSpacing w:val="0"/>
            </w:pPr>
            <w:r w:rsidRPr="00627A61">
              <w:rPr>
                <w:b/>
                <w:bCs/>
              </w:rPr>
              <w:t>Tugispetsialistide väärtustamine, järelkasv ja alustavate tugispetsialistide toetamine.</w:t>
            </w:r>
          </w:p>
        </w:tc>
      </w:tr>
      <w:tr w:rsidR="00AC3B57" w14:paraId="3024C31E" w14:textId="77777777" w:rsidTr="00D44E53">
        <w:tc>
          <w:tcPr>
            <w:tcW w:w="9628" w:type="dxa"/>
            <w:gridSpan w:val="2"/>
          </w:tcPr>
          <w:p w14:paraId="6AF5906D" w14:textId="77777777" w:rsidR="00AC3B57" w:rsidRDefault="00627A61" w:rsidP="00C417A9">
            <w:pPr>
              <w:spacing w:after="40"/>
            </w:pPr>
            <w:r>
              <w:t>…</w:t>
            </w:r>
          </w:p>
          <w:p w14:paraId="1B6BE3C5" w14:textId="77777777" w:rsidR="00EF7252" w:rsidRDefault="00EF7252" w:rsidP="00C417A9">
            <w:pPr>
              <w:spacing w:after="40"/>
            </w:pPr>
          </w:p>
          <w:p w14:paraId="4B75428C" w14:textId="77777777" w:rsidR="003D4A2C" w:rsidRDefault="003D4A2C" w:rsidP="00C417A9">
            <w:pPr>
              <w:spacing w:after="40"/>
            </w:pPr>
          </w:p>
          <w:p w14:paraId="3BF7E54E" w14:textId="25410BFA" w:rsidR="003D4A2C" w:rsidRDefault="003D4A2C" w:rsidP="00C417A9">
            <w:pPr>
              <w:spacing w:after="40"/>
            </w:pPr>
          </w:p>
        </w:tc>
      </w:tr>
      <w:tr w:rsidR="00AC3B57" w14:paraId="1FDFD829" w14:textId="77777777" w:rsidTr="006019FE">
        <w:tc>
          <w:tcPr>
            <w:tcW w:w="9628" w:type="dxa"/>
            <w:gridSpan w:val="2"/>
            <w:shd w:val="clear" w:color="auto" w:fill="A8D08D" w:themeFill="accent6" w:themeFillTint="99"/>
          </w:tcPr>
          <w:p w14:paraId="3115796B" w14:textId="6A47282A" w:rsidR="00AC3B57" w:rsidRPr="006019FE" w:rsidRDefault="00627A61" w:rsidP="00C417A9">
            <w:pPr>
              <w:spacing w:after="40"/>
              <w:rPr>
                <w:sz w:val="24"/>
                <w:szCs w:val="24"/>
              </w:rPr>
            </w:pPr>
            <w:r w:rsidRPr="006019FE">
              <w:rPr>
                <w:b/>
                <w:bCs/>
                <w:color w:val="385623" w:themeColor="accent6" w:themeShade="80"/>
                <w:sz w:val="24"/>
                <w:szCs w:val="24"/>
              </w:rPr>
              <w:t xml:space="preserve">Prioriteet </w:t>
            </w:r>
            <w:r w:rsidRPr="006019FE">
              <w:rPr>
                <w:b/>
                <w:color w:val="385623" w:themeColor="accent6" w:themeShade="80"/>
                <w:sz w:val="24"/>
                <w:szCs w:val="24"/>
              </w:rPr>
              <w:t>2.</w:t>
            </w:r>
            <w:r w:rsidRPr="006019FE">
              <w:rPr>
                <w:color w:val="385623" w:themeColor="accent6" w:themeShade="80"/>
                <w:sz w:val="24"/>
                <w:szCs w:val="24"/>
              </w:rPr>
              <w:t xml:space="preserve"> </w:t>
            </w:r>
            <w:r w:rsidRPr="006019FE">
              <w:rPr>
                <w:b/>
                <w:color w:val="385623" w:themeColor="accent6" w:themeShade="80"/>
                <w:sz w:val="24"/>
                <w:szCs w:val="24"/>
              </w:rPr>
              <w:t>Teaduspõhine haridussüsteemi väljakutsete lahendamine ja paindlik haridussüsteem</w:t>
            </w:r>
          </w:p>
        </w:tc>
      </w:tr>
      <w:tr w:rsidR="00627A61" w14:paraId="66EB9C45" w14:textId="77777777" w:rsidTr="006019FE">
        <w:tc>
          <w:tcPr>
            <w:tcW w:w="9628" w:type="dxa"/>
            <w:gridSpan w:val="2"/>
            <w:shd w:val="clear" w:color="auto" w:fill="E2EFD9" w:themeFill="accent6" w:themeFillTint="33"/>
          </w:tcPr>
          <w:p w14:paraId="0E750A47" w14:textId="77777777" w:rsidR="00627A61" w:rsidRPr="006019FE" w:rsidRDefault="00627A61" w:rsidP="00C417A9">
            <w:pPr>
              <w:spacing w:after="40"/>
              <w:rPr>
                <w:rFonts w:eastAsiaTheme="minorEastAsia"/>
                <w:b/>
                <w:bCs/>
                <w:color w:val="385623" w:themeColor="accent6" w:themeShade="80"/>
                <w:kern w:val="24"/>
              </w:rPr>
            </w:pPr>
            <w:r w:rsidRPr="006019FE">
              <w:rPr>
                <w:b/>
                <w:bCs/>
                <w:color w:val="385623" w:themeColor="accent6" w:themeShade="80"/>
              </w:rPr>
              <w:t xml:space="preserve">Fookus </w:t>
            </w:r>
            <w:r w:rsidRPr="006019FE">
              <w:rPr>
                <w:rFonts w:eastAsiaTheme="minorEastAsia"/>
                <w:b/>
                <w:bCs/>
                <w:color w:val="385623" w:themeColor="accent6" w:themeShade="80"/>
                <w:kern w:val="24"/>
              </w:rPr>
              <w:t>2.1.</w:t>
            </w:r>
            <w:r w:rsidRPr="006019FE">
              <w:rPr>
                <w:b/>
                <w:bCs/>
                <w:color w:val="385623" w:themeColor="accent6" w:themeShade="80"/>
              </w:rPr>
              <w:t xml:space="preserve"> </w:t>
            </w:r>
            <w:r w:rsidRPr="006019FE">
              <w:rPr>
                <w:rFonts w:eastAsiaTheme="minorEastAsia"/>
                <w:b/>
                <w:bCs/>
                <w:color w:val="385623" w:themeColor="accent6" w:themeShade="80"/>
                <w:kern w:val="24"/>
              </w:rPr>
              <w:t>Riiklike õppekavade arendamise kontseptsioon, sh formaal- ja mitteformaalhariduse lõimimine ja vastastikune tunnustamine, personaalne õpirada. Õpihuvi kasvatamine LTT valdkonnas.</w:t>
            </w:r>
          </w:p>
          <w:p w14:paraId="472C6B34" w14:textId="77777777" w:rsidR="00627A61" w:rsidRPr="00627A61" w:rsidRDefault="00627A61" w:rsidP="00C417A9">
            <w:pPr>
              <w:numPr>
                <w:ilvl w:val="0"/>
                <w:numId w:val="17"/>
              </w:numPr>
              <w:spacing w:after="40"/>
              <w:jc w:val="both"/>
              <w:rPr>
                <w:rFonts w:eastAsiaTheme="minorEastAsia"/>
                <w:color w:val="000000" w:themeColor="text1"/>
                <w:sz w:val="20"/>
                <w:szCs w:val="20"/>
              </w:rPr>
            </w:pPr>
            <w:r w:rsidRPr="00627A61">
              <w:rPr>
                <w:rFonts w:eastAsiaTheme="minorEastAsia"/>
                <w:b/>
                <w:bCs/>
                <w:sz w:val="20"/>
                <w:szCs w:val="20"/>
              </w:rPr>
              <w:lastRenderedPageBreak/>
              <w:t xml:space="preserve">Alushariduse ja lapsehoiu seaduse ning alushariduse õppekava </w:t>
            </w:r>
            <w:r w:rsidRPr="00627A61">
              <w:rPr>
                <w:rFonts w:eastAsiaTheme="minorEastAsia"/>
                <w:sz w:val="20"/>
                <w:szCs w:val="20"/>
              </w:rPr>
              <w:t>rakendamine ja rakendamist toetavate tegevuste kavandamine.</w:t>
            </w:r>
          </w:p>
          <w:p w14:paraId="0E198994" w14:textId="77777777" w:rsidR="00627A61" w:rsidRPr="00627A61" w:rsidRDefault="00627A61" w:rsidP="00C417A9">
            <w:pPr>
              <w:numPr>
                <w:ilvl w:val="0"/>
                <w:numId w:val="17"/>
              </w:numPr>
              <w:spacing w:after="40"/>
              <w:jc w:val="both"/>
              <w:rPr>
                <w:rFonts w:eastAsiaTheme="minorEastAsia"/>
                <w:color w:val="000000" w:themeColor="text1"/>
                <w:sz w:val="20"/>
                <w:szCs w:val="20"/>
              </w:rPr>
            </w:pPr>
            <w:r w:rsidRPr="00627A61">
              <w:rPr>
                <w:rFonts w:eastAsiaTheme="minorEastAsia"/>
                <w:b/>
                <w:bCs/>
                <w:sz w:val="20"/>
                <w:szCs w:val="20"/>
              </w:rPr>
              <w:t>Põhikooli- ja gümnaasiumiseaduse muutmine.</w:t>
            </w:r>
            <w:r w:rsidRPr="00627A61">
              <w:rPr>
                <w:rFonts w:eastAsiaTheme="minorEastAsia"/>
                <w:sz w:val="20"/>
                <w:szCs w:val="20"/>
              </w:rPr>
              <w:t xml:space="preserve"> Seaduse ajakohastamiseks  väljatöötamiskavatsuse ja vajalike seaduseelnõu(de) väljatöötamine  </w:t>
            </w:r>
          </w:p>
          <w:p w14:paraId="04BFA486" w14:textId="77777777" w:rsidR="00627A61" w:rsidRPr="00627A61" w:rsidRDefault="00627A61" w:rsidP="00C417A9">
            <w:pPr>
              <w:numPr>
                <w:ilvl w:val="0"/>
                <w:numId w:val="16"/>
              </w:numPr>
              <w:spacing w:after="40"/>
              <w:ind w:left="284" w:hanging="357"/>
              <w:jc w:val="both"/>
              <w:rPr>
                <w:rFonts w:eastAsiaTheme="minorEastAsia"/>
                <w:color w:val="000000" w:themeColor="text1"/>
                <w:sz w:val="20"/>
                <w:szCs w:val="20"/>
              </w:rPr>
            </w:pPr>
            <w:r w:rsidRPr="00627A61">
              <w:rPr>
                <w:rFonts w:eastAsiaTheme="minorEastAsia"/>
                <w:b/>
                <w:bCs/>
                <w:sz w:val="20"/>
                <w:szCs w:val="20"/>
              </w:rPr>
              <w:t>Ühtse keskhariduse kontseptsiooni ja keskharidusstandardi väljatöötamine</w:t>
            </w:r>
            <w:r w:rsidRPr="00627A61">
              <w:rPr>
                <w:rFonts w:eastAsiaTheme="minorEastAsia"/>
                <w:sz w:val="20"/>
                <w:szCs w:val="20"/>
              </w:rPr>
              <w:t xml:space="preserve"> üld- ja kutsekeskhariduse lõimimiseks. Sh üldhariduse kvaliteedisüsteem.</w:t>
            </w:r>
          </w:p>
          <w:p w14:paraId="47174D2B" w14:textId="77777777" w:rsidR="00627A61" w:rsidRPr="00627A61" w:rsidRDefault="00627A61" w:rsidP="00C417A9">
            <w:pPr>
              <w:numPr>
                <w:ilvl w:val="0"/>
                <w:numId w:val="16"/>
              </w:numPr>
              <w:spacing w:after="40"/>
              <w:ind w:left="283" w:hanging="357"/>
              <w:jc w:val="both"/>
              <w:rPr>
                <w:rFonts w:eastAsiaTheme="minorEastAsia"/>
                <w:color w:val="000000" w:themeColor="text1"/>
                <w:sz w:val="20"/>
                <w:szCs w:val="20"/>
              </w:rPr>
            </w:pPr>
            <w:r w:rsidRPr="00627A61">
              <w:rPr>
                <w:rFonts w:eastAsiaTheme="minorEastAsia"/>
                <w:b/>
                <w:bCs/>
                <w:sz w:val="20"/>
                <w:szCs w:val="20"/>
              </w:rPr>
              <w:t>Põhikooli riikliku õppekava ja gümnaasiumi riikliku õppekava</w:t>
            </w:r>
            <w:r w:rsidRPr="00627A61">
              <w:rPr>
                <w:rFonts w:eastAsiaTheme="minorEastAsia"/>
                <w:sz w:val="20"/>
                <w:szCs w:val="20"/>
              </w:rPr>
              <w:t xml:space="preserve"> </w:t>
            </w:r>
            <w:r w:rsidRPr="00627A61">
              <w:rPr>
                <w:rFonts w:eastAsiaTheme="minorEastAsia"/>
                <w:b/>
                <w:bCs/>
                <w:sz w:val="20"/>
                <w:szCs w:val="20"/>
              </w:rPr>
              <w:t xml:space="preserve">arendus </w:t>
            </w:r>
            <w:r w:rsidRPr="00627A61">
              <w:rPr>
                <w:rFonts w:eastAsiaTheme="minorEastAsia"/>
                <w:sz w:val="20"/>
                <w:szCs w:val="20"/>
              </w:rPr>
              <w:t>tulenevalt õppimise ja arengu teaduslikust kontseptsioonist ja ühtse keskhariduse kontseptsioonist. Sh lõpetamise tingimused (sh ka elektroonsed lõpu- ja riigieksamid);  sisseastumissüsteem; sujuvate ja paindlike üleminekute toetamine erinevate haridustasemete ja -liikide ning tööturu vahel.</w:t>
            </w:r>
          </w:p>
          <w:p w14:paraId="63F85611" w14:textId="77777777" w:rsidR="00627A61" w:rsidRPr="00627A61" w:rsidRDefault="00627A61" w:rsidP="00C417A9">
            <w:pPr>
              <w:numPr>
                <w:ilvl w:val="0"/>
                <w:numId w:val="10"/>
              </w:numPr>
              <w:spacing w:after="40"/>
              <w:jc w:val="both"/>
              <w:rPr>
                <w:rFonts w:eastAsiaTheme="minorEastAsia"/>
                <w:color w:val="000000" w:themeColor="text1"/>
                <w:sz w:val="20"/>
                <w:szCs w:val="20"/>
              </w:rPr>
            </w:pPr>
            <w:r w:rsidRPr="00627A61">
              <w:rPr>
                <w:rFonts w:eastAsiaTheme="minorEastAsia"/>
                <w:b/>
                <w:bCs/>
                <w:sz w:val="20"/>
                <w:szCs w:val="20"/>
              </w:rPr>
              <w:t>Kutsehariduse seaduse väljatöötamine</w:t>
            </w:r>
            <w:r w:rsidRPr="00627A61">
              <w:rPr>
                <w:rFonts w:eastAsiaTheme="minorEastAsia"/>
                <w:sz w:val="20"/>
                <w:szCs w:val="20"/>
              </w:rPr>
              <w:t xml:space="preserve"> </w:t>
            </w:r>
            <w:r w:rsidRPr="00627A61">
              <w:rPr>
                <w:rFonts w:eastAsiaTheme="minorEastAsia"/>
                <w:b/>
                <w:bCs/>
                <w:sz w:val="20"/>
                <w:szCs w:val="20"/>
              </w:rPr>
              <w:t xml:space="preserve">ja kutseharidusstandardi muutmine </w:t>
            </w:r>
            <w:r w:rsidRPr="00627A61">
              <w:rPr>
                <w:rFonts w:eastAsiaTheme="minorEastAsia"/>
                <w:sz w:val="20"/>
                <w:szCs w:val="20"/>
              </w:rPr>
              <w:t>tulenevalt ühtse keskhariduse kontseptsioonist ja kutsesüsteemi muutmisest.</w:t>
            </w:r>
          </w:p>
          <w:p w14:paraId="490AB626" w14:textId="77777777" w:rsidR="00627A61" w:rsidRPr="00627A61" w:rsidRDefault="00627A61" w:rsidP="00C417A9">
            <w:pPr>
              <w:numPr>
                <w:ilvl w:val="0"/>
                <w:numId w:val="10"/>
              </w:numPr>
              <w:spacing w:after="40"/>
              <w:jc w:val="both"/>
              <w:rPr>
                <w:rFonts w:eastAsiaTheme="minorEastAsia"/>
                <w:color w:val="000000" w:themeColor="text1"/>
                <w:sz w:val="20"/>
                <w:szCs w:val="20"/>
              </w:rPr>
            </w:pPr>
            <w:r w:rsidRPr="00627A61">
              <w:rPr>
                <w:rFonts w:eastAsiaTheme="minorEastAsia"/>
                <w:b/>
                <w:sz w:val="20"/>
                <w:szCs w:val="20"/>
              </w:rPr>
              <w:t>EL nõukogu</w:t>
            </w:r>
            <w:r w:rsidRPr="00627A61">
              <w:rPr>
                <w:rFonts w:eastAsiaTheme="minorEastAsia"/>
                <w:sz w:val="20"/>
                <w:szCs w:val="20"/>
              </w:rPr>
              <w:t xml:space="preserve"> </w:t>
            </w:r>
            <w:r w:rsidRPr="00627A61">
              <w:rPr>
                <w:rFonts w:eastAsiaTheme="minorEastAsia"/>
                <w:b/>
                <w:bCs/>
                <w:sz w:val="20"/>
                <w:szCs w:val="20"/>
              </w:rPr>
              <w:t>kutsehariduse ja -koolituse soovituse ja Osnabrücki deklaratsiooni siseriikliku rakenduskava koostamine.</w:t>
            </w:r>
          </w:p>
          <w:p w14:paraId="3AFA9FD4" w14:textId="77777777" w:rsidR="00627A61" w:rsidRPr="00627A61" w:rsidRDefault="00627A61" w:rsidP="00C417A9">
            <w:pPr>
              <w:numPr>
                <w:ilvl w:val="0"/>
                <w:numId w:val="10"/>
              </w:numPr>
              <w:spacing w:after="40"/>
              <w:jc w:val="both"/>
              <w:rPr>
                <w:rFonts w:eastAsiaTheme="minorEastAsia"/>
                <w:color w:val="000000" w:themeColor="text1"/>
                <w:sz w:val="20"/>
                <w:szCs w:val="20"/>
              </w:rPr>
            </w:pPr>
            <w:r w:rsidRPr="00627A61">
              <w:rPr>
                <w:rFonts w:ascii="Calibri" w:eastAsia="Calibri" w:hAnsi="Calibri" w:cs="Calibri"/>
                <w:b/>
                <w:bCs/>
                <w:sz w:val="20"/>
                <w:szCs w:val="20"/>
                <w:lang w:eastAsia="et-EE"/>
              </w:rPr>
              <w:t xml:space="preserve">Haridusvõrgu kujundamine. </w:t>
            </w:r>
            <w:r w:rsidRPr="00627A61">
              <w:rPr>
                <w:rFonts w:ascii="Calibri" w:eastAsia="Calibri" w:hAnsi="Calibri" w:cs="Calibri"/>
                <w:sz w:val="20"/>
                <w:szCs w:val="20"/>
                <w:lang w:eastAsia="et-EE"/>
              </w:rPr>
              <w:t>Kohandamine demograafiliste muudatustega ja vastutusvaldkondadega, strateegiliste eesmärkidega, sh keskhariduse vastutuse riigile andmine kooskõlas ühtse keskhariduse kontseptsiooniga. Vaimselt ja füüsiliselt turvalise õppekeskkonna loomine.</w:t>
            </w:r>
          </w:p>
          <w:p w14:paraId="3BD2618E" w14:textId="77777777" w:rsidR="00627A61" w:rsidRPr="00627A61" w:rsidRDefault="00627A61" w:rsidP="00C417A9">
            <w:pPr>
              <w:numPr>
                <w:ilvl w:val="0"/>
                <w:numId w:val="10"/>
              </w:numPr>
              <w:spacing w:after="40"/>
              <w:jc w:val="both"/>
              <w:rPr>
                <w:rFonts w:eastAsiaTheme="minorEastAsia"/>
                <w:color w:val="000000" w:themeColor="text1"/>
                <w:sz w:val="20"/>
                <w:szCs w:val="20"/>
              </w:rPr>
            </w:pPr>
            <w:r w:rsidRPr="00627A61">
              <w:rPr>
                <w:rFonts w:eastAsiaTheme="minorEastAsia"/>
                <w:b/>
                <w:bCs/>
                <w:sz w:val="20"/>
                <w:szCs w:val="20"/>
              </w:rPr>
              <w:t xml:space="preserve">Kaasava hariduse kontseptsiooni arendamine. </w:t>
            </w:r>
            <w:r w:rsidRPr="00627A61">
              <w:rPr>
                <w:rFonts w:eastAsiaTheme="minorEastAsia"/>
                <w:sz w:val="20"/>
                <w:szCs w:val="20"/>
              </w:rPr>
              <w:t>Õppija</w:t>
            </w:r>
            <w:r w:rsidRPr="00627A61">
              <w:rPr>
                <w:rFonts w:eastAsiaTheme="minorEastAsia"/>
                <w:b/>
                <w:bCs/>
                <w:sz w:val="20"/>
                <w:szCs w:val="20"/>
              </w:rPr>
              <w:t xml:space="preserve"> </w:t>
            </w:r>
            <w:r w:rsidRPr="00627A61">
              <w:rPr>
                <w:rFonts w:eastAsiaTheme="minorEastAsia"/>
                <w:sz w:val="20"/>
                <w:szCs w:val="20"/>
              </w:rPr>
              <w:t>toetamine, sh erivajadustega laste tugisüsteemide uuendamine koostöös Sotsiaalministeeriumiga.</w:t>
            </w:r>
            <w:r w:rsidRPr="00627A61">
              <w:rPr>
                <w:rFonts w:ascii="Calibri" w:eastAsia="Calibri" w:hAnsi="Calibri" w:cs="Calibri"/>
                <w:b/>
                <w:bCs/>
                <w:sz w:val="20"/>
                <w:szCs w:val="20"/>
                <w:lang w:eastAsia="et-EE"/>
              </w:rPr>
              <w:t xml:space="preserve"> </w:t>
            </w:r>
          </w:p>
          <w:p w14:paraId="10F560C0" w14:textId="77777777" w:rsidR="00627A61" w:rsidRPr="00627A61" w:rsidRDefault="00627A61" w:rsidP="00C417A9">
            <w:pPr>
              <w:numPr>
                <w:ilvl w:val="0"/>
                <w:numId w:val="10"/>
              </w:numPr>
              <w:spacing w:after="40"/>
              <w:jc w:val="both"/>
              <w:rPr>
                <w:rFonts w:eastAsiaTheme="minorEastAsia"/>
                <w:color w:val="000000" w:themeColor="text1"/>
                <w:sz w:val="20"/>
                <w:szCs w:val="20"/>
              </w:rPr>
            </w:pPr>
            <w:r w:rsidRPr="00627A61">
              <w:rPr>
                <w:rFonts w:ascii="Calibri" w:eastAsia="Calibri" w:hAnsi="Calibri" w:cs="Calibri"/>
                <w:b/>
                <w:bCs/>
                <w:sz w:val="20"/>
                <w:szCs w:val="20"/>
                <w:lang w:eastAsia="et-EE"/>
              </w:rPr>
              <w:t xml:space="preserve">Noortevaldkonna ja seotud õigusaktide uuendamine </w:t>
            </w:r>
            <w:r w:rsidRPr="00627A61">
              <w:rPr>
                <w:rFonts w:ascii="Calibri" w:eastAsia="Calibri" w:hAnsi="Calibri" w:cs="Calibri"/>
                <w:sz w:val="20"/>
                <w:szCs w:val="20"/>
                <w:lang w:eastAsia="et-EE"/>
              </w:rPr>
              <w:t>seoses arengukavast tulenevate strateegiliste eesmärkide saavutamisega (lõimiming, personaalsed õpirajad, üleelukaarene mitteformaalõpe).</w:t>
            </w:r>
            <w:r w:rsidRPr="00627A61">
              <w:rPr>
                <w:rFonts w:ascii="Calibri" w:eastAsia="Calibri" w:hAnsi="Calibri" w:cs="Calibri"/>
                <w:b/>
                <w:bCs/>
                <w:sz w:val="20"/>
                <w:szCs w:val="20"/>
                <w:lang w:eastAsia="et-EE"/>
              </w:rPr>
              <w:t xml:space="preserve"> </w:t>
            </w:r>
          </w:p>
          <w:p w14:paraId="308D6943" w14:textId="77777777" w:rsidR="00627A61" w:rsidRPr="00627A61" w:rsidRDefault="00627A61" w:rsidP="00C417A9">
            <w:pPr>
              <w:numPr>
                <w:ilvl w:val="0"/>
                <w:numId w:val="10"/>
              </w:numPr>
              <w:spacing w:after="40"/>
              <w:jc w:val="both"/>
              <w:rPr>
                <w:rFonts w:eastAsiaTheme="minorEastAsia"/>
                <w:sz w:val="20"/>
                <w:szCs w:val="20"/>
              </w:rPr>
            </w:pPr>
            <w:r w:rsidRPr="00627A61">
              <w:rPr>
                <w:rFonts w:ascii="Calibri" w:eastAsia="Calibri" w:hAnsi="Calibri" w:cs="Calibri"/>
                <w:b/>
                <w:bCs/>
                <w:sz w:val="20"/>
                <w:szCs w:val="20"/>
                <w:lang w:eastAsia="et-EE"/>
              </w:rPr>
              <w:t>Mitteformaalõppe lõimimine formaalõppega üld- ja kutsekeskhariduses:</w:t>
            </w:r>
            <w:r w:rsidRPr="00627A61">
              <w:rPr>
                <w:rFonts w:ascii="Calibri" w:eastAsia="Calibri" w:hAnsi="Calibri" w:cs="Calibri"/>
                <w:sz w:val="20"/>
                <w:szCs w:val="20"/>
                <w:lang w:eastAsia="et-EE"/>
              </w:rPr>
              <w:t xml:space="preserve"> mitteformaalse õppimise formaalharidusse lõimimise reformi rakenduskava koostamine.</w:t>
            </w:r>
          </w:p>
          <w:p w14:paraId="0034068A" w14:textId="18DE9CAD" w:rsidR="00627A61" w:rsidRPr="00627A61" w:rsidRDefault="00627A61" w:rsidP="00C417A9">
            <w:pPr>
              <w:numPr>
                <w:ilvl w:val="0"/>
                <w:numId w:val="10"/>
              </w:numPr>
              <w:spacing w:after="40"/>
              <w:jc w:val="both"/>
              <w:rPr>
                <w:rFonts w:eastAsiaTheme="minorEastAsia"/>
                <w:color w:val="000000" w:themeColor="text1"/>
              </w:rPr>
            </w:pPr>
            <w:r w:rsidRPr="00627A61">
              <w:rPr>
                <w:rFonts w:ascii="Calibri" w:eastAsia="Calibri" w:hAnsi="Calibri" w:cs="Calibri"/>
                <w:b/>
                <w:bCs/>
                <w:sz w:val="20"/>
                <w:szCs w:val="20"/>
              </w:rPr>
              <w:t>Andekate tegevuskava.</w:t>
            </w:r>
            <w:r w:rsidRPr="00627A61">
              <w:rPr>
                <w:rFonts w:ascii="Calibri" w:eastAsia="Calibri" w:hAnsi="Calibri" w:cs="Calibri"/>
                <w:sz w:val="20"/>
                <w:szCs w:val="20"/>
              </w:rPr>
              <w:t xml:space="preserve"> Mõiste määratlemine, andekuse tuvastamise juhendmaterjali loomine, õpetajakoolituse tõhustamine. Andekate süsteemse arendamise põhimõtted nii alus-, üld-  kui kutsekeskhariduses.</w:t>
            </w:r>
          </w:p>
        </w:tc>
      </w:tr>
      <w:tr w:rsidR="00AC3B57" w14:paraId="5F49E7B2" w14:textId="77777777" w:rsidTr="006019FE">
        <w:tc>
          <w:tcPr>
            <w:tcW w:w="9628" w:type="dxa"/>
            <w:gridSpan w:val="2"/>
            <w:shd w:val="clear" w:color="auto" w:fill="E2EFD9" w:themeFill="accent6" w:themeFillTint="33"/>
          </w:tcPr>
          <w:p w14:paraId="3F3D9B27" w14:textId="77777777" w:rsidR="00627A61" w:rsidRPr="00C417A9" w:rsidRDefault="00627A61" w:rsidP="00C417A9">
            <w:pPr>
              <w:spacing w:after="40"/>
              <w:rPr>
                <w:rFonts w:eastAsiaTheme="minorEastAsia"/>
                <w:b/>
                <w:bCs/>
                <w:color w:val="385623" w:themeColor="accent6" w:themeShade="80"/>
                <w:kern w:val="24"/>
              </w:rPr>
            </w:pPr>
            <w:r w:rsidRPr="00C417A9">
              <w:rPr>
                <w:b/>
                <w:bCs/>
                <w:color w:val="385623" w:themeColor="accent6" w:themeShade="80"/>
              </w:rPr>
              <w:lastRenderedPageBreak/>
              <w:t>Fookus</w:t>
            </w:r>
            <w:r w:rsidRPr="00C417A9">
              <w:rPr>
                <w:b/>
                <w:color w:val="385623" w:themeColor="accent6" w:themeShade="80"/>
              </w:rPr>
              <w:t xml:space="preserve">: 2.3. </w:t>
            </w:r>
            <w:r w:rsidRPr="00C417A9">
              <w:rPr>
                <w:rFonts w:eastAsiaTheme="minorEastAsia"/>
                <w:b/>
                <w:bCs/>
                <w:color w:val="385623" w:themeColor="accent6" w:themeShade="80"/>
                <w:kern w:val="24"/>
              </w:rPr>
              <w:t>Rahastus- (näit kõrghariduse rahastamine, üldhariduse õppekava rahastusmudel jne) ning kvaliteedimudelid</w:t>
            </w:r>
          </w:p>
          <w:p w14:paraId="604300F7" w14:textId="77777777" w:rsidR="00627A61" w:rsidRPr="00627A61" w:rsidRDefault="00627A61" w:rsidP="00C417A9">
            <w:pPr>
              <w:numPr>
                <w:ilvl w:val="0"/>
                <w:numId w:val="5"/>
              </w:numPr>
              <w:spacing w:after="40"/>
              <w:ind w:left="357" w:hanging="357"/>
              <w:jc w:val="both"/>
              <w:rPr>
                <w:sz w:val="20"/>
                <w:szCs w:val="20"/>
              </w:rPr>
            </w:pPr>
            <w:r w:rsidRPr="00627A61">
              <w:rPr>
                <w:b/>
                <w:sz w:val="20"/>
                <w:szCs w:val="20"/>
              </w:rPr>
              <w:t xml:space="preserve">Kõrghariduse jätkusuutliku rahastamismudeli arutelud, </w:t>
            </w:r>
            <w:r w:rsidRPr="00627A61">
              <w:rPr>
                <w:sz w:val="20"/>
                <w:szCs w:val="20"/>
              </w:rPr>
              <w:t>sh kõrgharidusseaduse muutmine tasuta kõrghariduse rahastamispõhimõtete täpsustamiseks üliõpilaste omavastutuse suurendamisel ja õppe efektiivsuse parandamisel.</w:t>
            </w:r>
          </w:p>
          <w:p w14:paraId="0588F1BB" w14:textId="5DDD6EE0" w:rsidR="00627A61" w:rsidRPr="00627A61" w:rsidRDefault="00627A61" w:rsidP="00C417A9">
            <w:pPr>
              <w:numPr>
                <w:ilvl w:val="0"/>
                <w:numId w:val="5"/>
              </w:numPr>
              <w:spacing w:after="40"/>
              <w:ind w:left="357" w:hanging="357"/>
              <w:jc w:val="both"/>
              <w:rPr>
                <w:sz w:val="20"/>
                <w:szCs w:val="20"/>
              </w:rPr>
            </w:pPr>
            <w:r w:rsidRPr="00627A61">
              <w:rPr>
                <w:rFonts w:ascii="Calibri" w:eastAsia="Calibri" w:hAnsi="Calibri" w:cs="Calibri"/>
                <w:b/>
                <w:bCs/>
                <w:sz w:val="20"/>
                <w:szCs w:val="20"/>
                <w:lang w:eastAsia="et-EE"/>
              </w:rPr>
              <w:t xml:space="preserve">Noortevaldkonna teenuste kvaliteedihindamise süsteemi arendamine </w:t>
            </w:r>
            <w:r w:rsidRPr="00627A61">
              <w:rPr>
                <w:rFonts w:ascii="Calibri" w:eastAsia="Calibri" w:hAnsi="Calibri" w:cs="Calibri"/>
                <w:sz w:val="20"/>
                <w:szCs w:val="20"/>
                <w:lang w:eastAsia="et-EE"/>
              </w:rPr>
              <w:t>sh</w:t>
            </w:r>
            <w:r w:rsidRPr="00627A61">
              <w:rPr>
                <w:rFonts w:ascii="Calibri" w:eastAsia="Calibri" w:hAnsi="Calibri" w:cs="Calibri"/>
                <w:bCs/>
                <w:sz w:val="20"/>
                <w:szCs w:val="20"/>
                <w:lang w:eastAsia="et-EE"/>
              </w:rPr>
              <w:t xml:space="preserve"> </w:t>
            </w:r>
            <w:r w:rsidRPr="00627A61">
              <w:rPr>
                <w:rFonts w:ascii="Calibri" w:eastAsia="Calibri" w:hAnsi="Calibri" w:cs="Calibri"/>
                <w:sz w:val="20"/>
                <w:szCs w:val="20"/>
                <w:lang w:eastAsia="et-EE"/>
              </w:rPr>
              <w:t>hindamismudeli uuendamine</w:t>
            </w:r>
          </w:p>
          <w:p w14:paraId="3B44F3CE" w14:textId="25486460" w:rsidR="00AC3B57" w:rsidRDefault="00627A61" w:rsidP="00C417A9">
            <w:pPr>
              <w:numPr>
                <w:ilvl w:val="0"/>
                <w:numId w:val="5"/>
              </w:numPr>
              <w:spacing w:after="40"/>
              <w:ind w:left="357" w:hanging="357"/>
              <w:jc w:val="both"/>
            </w:pPr>
            <w:r w:rsidRPr="00627A61">
              <w:rPr>
                <w:rFonts w:ascii="Calibri" w:eastAsia="Calibri" w:hAnsi="Calibri" w:cs="Calibri"/>
                <w:b/>
                <w:bCs/>
                <w:sz w:val="20"/>
                <w:szCs w:val="20"/>
                <w:lang w:eastAsia="et-EE"/>
              </w:rPr>
              <w:t xml:space="preserve">Noortevaldkonnas riigi poolt eraldatavate toetuste analüüs, </w:t>
            </w:r>
            <w:r w:rsidRPr="00627A61">
              <w:rPr>
                <w:rFonts w:ascii="Calibri" w:eastAsia="Calibri" w:hAnsi="Calibri" w:cs="Calibri"/>
                <w:bCs/>
                <w:sz w:val="20"/>
                <w:szCs w:val="20"/>
                <w:lang w:eastAsia="et-EE"/>
              </w:rPr>
              <w:t>hindamaks toetusmehhanismide vastavust (arengu)vajadustele</w:t>
            </w:r>
          </w:p>
        </w:tc>
      </w:tr>
      <w:tr w:rsidR="00627A61" w14:paraId="009747CC" w14:textId="77777777" w:rsidTr="00D44E53">
        <w:tc>
          <w:tcPr>
            <w:tcW w:w="9628" w:type="dxa"/>
            <w:gridSpan w:val="2"/>
          </w:tcPr>
          <w:p w14:paraId="021C92A7" w14:textId="77777777" w:rsidR="00627A61" w:rsidRDefault="00627A61" w:rsidP="00C417A9">
            <w:pPr>
              <w:spacing w:after="40"/>
            </w:pPr>
            <w:r>
              <w:t>…</w:t>
            </w:r>
          </w:p>
          <w:p w14:paraId="12B175DC" w14:textId="77777777" w:rsidR="00EF7252" w:rsidRDefault="00EF7252" w:rsidP="00C417A9">
            <w:pPr>
              <w:spacing w:after="40"/>
            </w:pPr>
          </w:p>
          <w:p w14:paraId="0E20B24F" w14:textId="77777777" w:rsidR="008C6785" w:rsidRDefault="008C6785" w:rsidP="00C417A9">
            <w:pPr>
              <w:spacing w:after="40"/>
            </w:pPr>
          </w:p>
          <w:p w14:paraId="1C0B826D" w14:textId="3F53D50A" w:rsidR="008C6785" w:rsidRDefault="008C6785" w:rsidP="00C417A9">
            <w:pPr>
              <w:spacing w:after="40"/>
            </w:pPr>
          </w:p>
        </w:tc>
      </w:tr>
      <w:tr w:rsidR="00627A61" w14:paraId="68B8AE53" w14:textId="77777777" w:rsidTr="006019FE">
        <w:tc>
          <w:tcPr>
            <w:tcW w:w="9628" w:type="dxa"/>
            <w:gridSpan w:val="2"/>
            <w:shd w:val="clear" w:color="auto" w:fill="A8D08D" w:themeFill="accent6" w:themeFillTint="99"/>
          </w:tcPr>
          <w:p w14:paraId="10F3816B" w14:textId="3C68253A" w:rsidR="00627A61" w:rsidRPr="006019FE" w:rsidRDefault="00627A61" w:rsidP="00C417A9">
            <w:pPr>
              <w:spacing w:after="40"/>
              <w:rPr>
                <w:sz w:val="24"/>
                <w:szCs w:val="24"/>
              </w:rPr>
            </w:pPr>
            <w:r w:rsidRPr="006019FE">
              <w:rPr>
                <w:b/>
                <w:bCs/>
                <w:color w:val="385623" w:themeColor="accent6" w:themeShade="80"/>
                <w:sz w:val="24"/>
                <w:szCs w:val="24"/>
              </w:rPr>
              <w:t xml:space="preserve">Prioriteet: </w:t>
            </w:r>
            <w:r w:rsidRPr="006019FE">
              <w:rPr>
                <w:b/>
                <w:color w:val="385623" w:themeColor="accent6" w:themeShade="80"/>
                <w:sz w:val="24"/>
                <w:szCs w:val="24"/>
              </w:rPr>
              <w:t>3.</w:t>
            </w:r>
            <w:r w:rsidRPr="006019FE">
              <w:rPr>
                <w:color w:val="385623" w:themeColor="accent6" w:themeShade="80"/>
                <w:sz w:val="24"/>
                <w:szCs w:val="24"/>
              </w:rPr>
              <w:t xml:space="preserve"> </w:t>
            </w:r>
            <w:r w:rsidRPr="006019FE">
              <w:rPr>
                <w:b/>
                <w:color w:val="385623" w:themeColor="accent6" w:themeShade="80"/>
                <w:sz w:val="24"/>
                <w:szCs w:val="24"/>
              </w:rPr>
              <w:t>Hariduse ja teadussüsteemi kooskõla suurendamine ühiskonna vajadustega</w:t>
            </w:r>
          </w:p>
        </w:tc>
      </w:tr>
      <w:tr w:rsidR="00627A61" w14:paraId="360947FD" w14:textId="77777777" w:rsidTr="006019FE">
        <w:tc>
          <w:tcPr>
            <w:tcW w:w="9628" w:type="dxa"/>
            <w:gridSpan w:val="2"/>
            <w:shd w:val="clear" w:color="auto" w:fill="E2EFD9" w:themeFill="accent6" w:themeFillTint="33"/>
          </w:tcPr>
          <w:p w14:paraId="295E5A4C" w14:textId="77777777" w:rsidR="00627A61" w:rsidRPr="00C417A9" w:rsidRDefault="00627A61" w:rsidP="00C417A9">
            <w:pPr>
              <w:spacing w:after="40"/>
              <w:rPr>
                <w:rFonts w:eastAsiaTheme="minorEastAsia"/>
                <w:b/>
                <w:color w:val="385623" w:themeColor="accent6" w:themeShade="80"/>
                <w:kern w:val="24"/>
              </w:rPr>
            </w:pPr>
            <w:r w:rsidRPr="00C417A9">
              <w:rPr>
                <w:b/>
                <w:bCs/>
                <w:color w:val="385623" w:themeColor="accent6" w:themeShade="80"/>
              </w:rPr>
              <w:t>Fookus</w:t>
            </w:r>
            <w:r w:rsidRPr="00C417A9">
              <w:rPr>
                <w:b/>
                <w:color w:val="385623" w:themeColor="accent6" w:themeShade="80"/>
              </w:rPr>
              <w:t xml:space="preserve"> </w:t>
            </w:r>
            <w:r w:rsidRPr="00C417A9">
              <w:rPr>
                <w:rFonts w:eastAsiaTheme="minorEastAsia"/>
                <w:b/>
                <w:color w:val="385623" w:themeColor="accent6" w:themeShade="80"/>
                <w:kern w:val="24"/>
              </w:rPr>
              <w:t>3.1.</w:t>
            </w:r>
            <w:r w:rsidRPr="00C417A9">
              <w:rPr>
                <w:b/>
                <w:color w:val="385623" w:themeColor="accent6" w:themeShade="80"/>
              </w:rPr>
              <w:t xml:space="preserve"> </w:t>
            </w:r>
            <w:r w:rsidRPr="00C417A9">
              <w:rPr>
                <w:rFonts w:eastAsiaTheme="minorEastAsia"/>
                <w:b/>
                <w:color w:val="385623" w:themeColor="accent6" w:themeShade="80"/>
                <w:kern w:val="24"/>
              </w:rPr>
              <w:t>Teadus- ja arendustegevuse, innovatsiooni ning ettevõtluse (TAIE) arengukava 2021-2035 elluviimiseks vajalik seadusandliku raam ja sihtidest lähtuvad rahastamisinstrumendid. Ettevõtete ja teadusasutuste toimivad koostöömudelid ja –võrgustikud</w:t>
            </w:r>
          </w:p>
          <w:p w14:paraId="1184FDCC" w14:textId="7B53513D" w:rsidR="00627A61" w:rsidRPr="00627A61" w:rsidRDefault="00627A61" w:rsidP="00C417A9">
            <w:pPr>
              <w:numPr>
                <w:ilvl w:val="0"/>
                <w:numId w:val="18"/>
              </w:numPr>
              <w:spacing w:after="40"/>
              <w:jc w:val="both"/>
              <w:rPr>
                <w:rFonts w:eastAsiaTheme="minorEastAsia"/>
                <w:sz w:val="20"/>
                <w:szCs w:val="20"/>
              </w:rPr>
            </w:pPr>
            <w:r w:rsidRPr="00627A61">
              <w:rPr>
                <w:rFonts w:eastAsiaTheme="minorEastAsia"/>
                <w:b/>
                <w:bCs/>
                <w:sz w:val="20"/>
                <w:szCs w:val="20"/>
              </w:rPr>
              <w:t>Teadus- ja arendustegevuse korralduse seaduse (TAKS)</w:t>
            </w:r>
            <w:r w:rsidRPr="00627A61">
              <w:rPr>
                <w:rFonts w:eastAsiaTheme="minorEastAsia"/>
                <w:sz w:val="20"/>
                <w:szCs w:val="20"/>
              </w:rPr>
              <w:t xml:space="preserve"> ja kaasnevate aktide muutmine seaduse kaasajastamiseks, sh baasfinantseerimise ümberkujundamiseks tegevustoetuseks, teaduseetika tagamise süsteemi korraldamiseks, tippkeskuste rahastamise uute põhimõtete väljatöötamiseks ja riikliku teadustaristu toetussüsteemi põhimõtete uuendamiseks. </w:t>
            </w:r>
          </w:p>
        </w:tc>
      </w:tr>
      <w:tr w:rsidR="00627A61" w14:paraId="19FA2CA9" w14:textId="77777777" w:rsidTr="006019FE">
        <w:tc>
          <w:tcPr>
            <w:tcW w:w="9628" w:type="dxa"/>
            <w:gridSpan w:val="2"/>
            <w:shd w:val="clear" w:color="auto" w:fill="E2EFD9" w:themeFill="accent6" w:themeFillTint="33"/>
          </w:tcPr>
          <w:p w14:paraId="6404C41D" w14:textId="77777777" w:rsidR="00627A61" w:rsidRPr="00C417A9" w:rsidRDefault="00627A61" w:rsidP="00C417A9">
            <w:pPr>
              <w:spacing w:after="40"/>
              <w:rPr>
                <w:rFonts w:eastAsiaTheme="minorEastAsia"/>
                <w:b/>
                <w:bCs/>
                <w:color w:val="385623" w:themeColor="accent6" w:themeShade="80"/>
                <w:kern w:val="24"/>
              </w:rPr>
            </w:pPr>
            <w:r w:rsidRPr="00C417A9">
              <w:rPr>
                <w:b/>
                <w:bCs/>
                <w:color w:val="385623" w:themeColor="accent6" w:themeShade="80"/>
              </w:rPr>
              <w:t xml:space="preserve">Fookus </w:t>
            </w:r>
            <w:r w:rsidRPr="00C417A9">
              <w:rPr>
                <w:rFonts w:eastAsiaTheme="minorEastAsia"/>
                <w:b/>
                <w:bCs/>
                <w:color w:val="385623" w:themeColor="accent6" w:themeShade="80"/>
                <w:kern w:val="24"/>
              </w:rPr>
              <w:t>3.2.</w:t>
            </w:r>
            <w:r w:rsidRPr="00C417A9">
              <w:rPr>
                <w:b/>
                <w:bCs/>
                <w:color w:val="385623" w:themeColor="accent6" w:themeShade="80"/>
              </w:rPr>
              <w:t xml:space="preserve"> </w:t>
            </w:r>
            <w:r w:rsidRPr="00C417A9">
              <w:rPr>
                <w:rFonts w:eastAsiaTheme="minorEastAsia"/>
                <w:b/>
                <w:bCs/>
                <w:color w:val="385623" w:themeColor="accent6" w:themeShade="80"/>
                <w:kern w:val="24"/>
              </w:rPr>
              <w:t>Tööturu ja ühiskonna vajadustele vastav elukestev õpe, sh paindlikkust võimaldavad mikrokvalifikatsioonid</w:t>
            </w:r>
          </w:p>
          <w:p w14:paraId="7FF78E9B" w14:textId="77777777" w:rsidR="00627A61" w:rsidRPr="00627A61" w:rsidRDefault="00627A61" w:rsidP="00C417A9">
            <w:pPr>
              <w:numPr>
                <w:ilvl w:val="0"/>
                <w:numId w:val="5"/>
              </w:numPr>
              <w:spacing w:after="40"/>
              <w:ind w:hanging="357"/>
              <w:jc w:val="both"/>
              <w:rPr>
                <w:rFonts w:eastAsiaTheme="minorEastAsia"/>
                <w:sz w:val="20"/>
                <w:szCs w:val="20"/>
              </w:rPr>
            </w:pPr>
            <w:r w:rsidRPr="00627A61">
              <w:rPr>
                <w:rFonts w:eastAsiaTheme="minorEastAsia"/>
                <w:sz w:val="20"/>
                <w:szCs w:val="20"/>
              </w:rPr>
              <w:lastRenderedPageBreak/>
              <w:t xml:space="preserve">Mikrokvalifikatsioonide rakendamiseks kõrg-, kutsehariduses, kutsesüsteemis ja täiendkoolituses </w:t>
            </w:r>
            <w:r w:rsidRPr="00627A61">
              <w:rPr>
                <w:rFonts w:eastAsiaTheme="minorEastAsia"/>
                <w:b/>
                <w:bCs/>
                <w:sz w:val="20"/>
                <w:szCs w:val="20"/>
              </w:rPr>
              <w:t>täiskasvanute koolituse seaduse ja täiendkoolitusstandardi muutmine</w:t>
            </w:r>
            <w:r w:rsidRPr="00627A61">
              <w:rPr>
                <w:rFonts w:eastAsiaTheme="minorEastAsia"/>
                <w:sz w:val="20"/>
                <w:szCs w:val="20"/>
              </w:rPr>
              <w:t xml:space="preserve">  </w:t>
            </w:r>
          </w:p>
          <w:p w14:paraId="5726C040" w14:textId="77777777" w:rsidR="00627A61" w:rsidRPr="00627A61" w:rsidRDefault="00627A61" w:rsidP="00C417A9">
            <w:pPr>
              <w:numPr>
                <w:ilvl w:val="0"/>
                <w:numId w:val="5"/>
              </w:numPr>
              <w:spacing w:after="40"/>
              <w:ind w:hanging="357"/>
              <w:jc w:val="both"/>
              <w:rPr>
                <w:rFonts w:eastAsiaTheme="minorEastAsia"/>
                <w:sz w:val="20"/>
                <w:szCs w:val="20"/>
              </w:rPr>
            </w:pPr>
            <w:r w:rsidRPr="00627A61">
              <w:rPr>
                <w:rFonts w:eastAsiaTheme="minorEastAsia"/>
                <w:b/>
                <w:sz w:val="20"/>
                <w:szCs w:val="20"/>
              </w:rPr>
              <w:t>Mikrokvalifikatsioonide</w:t>
            </w:r>
            <w:r w:rsidRPr="00627A61">
              <w:rPr>
                <w:rFonts w:eastAsiaTheme="minorEastAsia"/>
                <w:sz w:val="20"/>
                <w:szCs w:val="20"/>
              </w:rPr>
              <w:t xml:space="preserve"> kvaliteedi tagamine, tunnustamine ja paigutamine kvaliteediraamistikku</w:t>
            </w:r>
          </w:p>
          <w:p w14:paraId="04AA3F7B" w14:textId="5323B436" w:rsidR="00627A61" w:rsidRPr="00627A61" w:rsidRDefault="00627A61" w:rsidP="00C417A9">
            <w:pPr>
              <w:numPr>
                <w:ilvl w:val="0"/>
                <w:numId w:val="5"/>
              </w:numPr>
              <w:spacing w:after="40"/>
              <w:ind w:hanging="357"/>
              <w:jc w:val="both"/>
              <w:rPr>
                <w:rFonts w:eastAsiaTheme="minorEastAsia"/>
                <w:sz w:val="20"/>
                <w:szCs w:val="20"/>
              </w:rPr>
            </w:pPr>
            <w:r w:rsidRPr="00627A61">
              <w:rPr>
                <w:rFonts w:eastAsiaTheme="minorEastAsia"/>
                <w:sz w:val="20"/>
                <w:szCs w:val="20"/>
              </w:rPr>
              <w:t>Täienduskoolituse kvaliteedisüsteemi arendamiseks</w:t>
            </w:r>
            <w:r w:rsidRPr="00627A61">
              <w:rPr>
                <w:rFonts w:eastAsiaTheme="minorEastAsia"/>
                <w:b/>
                <w:bCs/>
                <w:sz w:val="20"/>
                <w:szCs w:val="20"/>
              </w:rPr>
              <w:t xml:space="preserve"> täiskasvanute koolituse seaduse ja täiendkoolitusstandardi muutmine</w:t>
            </w:r>
            <w:r w:rsidRPr="00627A61">
              <w:rPr>
                <w:rFonts w:eastAsiaTheme="minorEastAsia"/>
                <w:sz w:val="20"/>
                <w:szCs w:val="20"/>
              </w:rPr>
              <w:t>.</w:t>
            </w:r>
          </w:p>
          <w:p w14:paraId="6A7808E5" w14:textId="6C37C9ED" w:rsidR="00627A61" w:rsidRPr="00627A61" w:rsidRDefault="00627A61" w:rsidP="00C417A9">
            <w:pPr>
              <w:numPr>
                <w:ilvl w:val="0"/>
                <w:numId w:val="5"/>
              </w:numPr>
              <w:spacing w:after="40"/>
              <w:ind w:hanging="357"/>
              <w:jc w:val="both"/>
              <w:rPr>
                <w:rFonts w:eastAsiaTheme="minorEastAsia"/>
              </w:rPr>
            </w:pPr>
            <w:r w:rsidRPr="00627A61">
              <w:rPr>
                <w:rFonts w:eastAsiaTheme="minorEastAsia"/>
                <w:b/>
                <w:sz w:val="20"/>
                <w:szCs w:val="20"/>
              </w:rPr>
              <w:t>Kõrghariduse jätkusuutlik rahastamine</w:t>
            </w:r>
            <w:r w:rsidRPr="00627A61">
              <w:rPr>
                <w:rFonts w:eastAsiaTheme="minorEastAsia"/>
                <w:sz w:val="20"/>
                <w:szCs w:val="20"/>
              </w:rPr>
              <w:t>, sh kõrgharidusseaduses tasuta õppe tingimuste täpsustamine.</w:t>
            </w:r>
          </w:p>
        </w:tc>
      </w:tr>
      <w:tr w:rsidR="00627A61" w14:paraId="33A7FFAB" w14:textId="77777777" w:rsidTr="00D44E53">
        <w:tc>
          <w:tcPr>
            <w:tcW w:w="9628" w:type="dxa"/>
            <w:gridSpan w:val="2"/>
          </w:tcPr>
          <w:p w14:paraId="089F55D3" w14:textId="77777777" w:rsidR="00627A61" w:rsidRDefault="0004740B" w:rsidP="00C417A9">
            <w:pPr>
              <w:spacing w:after="40"/>
            </w:pPr>
            <w:r>
              <w:lastRenderedPageBreak/>
              <w:t>…</w:t>
            </w:r>
          </w:p>
          <w:p w14:paraId="51989CA2" w14:textId="54C97E52" w:rsidR="00EF7252" w:rsidRDefault="00EF7252" w:rsidP="00C417A9">
            <w:pPr>
              <w:spacing w:after="40"/>
            </w:pPr>
          </w:p>
          <w:p w14:paraId="50FFFF48" w14:textId="77777777" w:rsidR="00206C7A" w:rsidRDefault="00206C7A" w:rsidP="00C417A9">
            <w:pPr>
              <w:spacing w:after="40"/>
            </w:pPr>
          </w:p>
          <w:p w14:paraId="6945BE72" w14:textId="06359B6F" w:rsidR="003D4A2C" w:rsidRDefault="003D4A2C" w:rsidP="00C417A9">
            <w:pPr>
              <w:spacing w:after="40"/>
            </w:pPr>
          </w:p>
        </w:tc>
      </w:tr>
      <w:tr w:rsidR="0004740B" w14:paraId="6FB1598C" w14:textId="77777777" w:rsidTr="006019FE">
        <w:tc>
          <w:tcPr>
            <w:tcW w:w="9628" w:type="dxa"/>
            <w:gridSpan w:val="2"/>
            <w:shd w:val="clear" w:color="auto" w:fill="A8D08D" w:themeFill="accent6" w:themeFillTint="99"/>
          </w:tcPr>
          <w:p w14:paraId="43780DAC" w14:textId="6DCDAFB9" w:rsidR="0004740B" w:rsidRPr="006019FE" w:rsidRDefault="0004740B" w:rsidP="00C417A9">
            <w:pPr>
              <w:spacing w:after="40"/>
              <w:rPr>
                <w:sz w:val="24"/>
                <w:szCs w:val="24"/>
              </w:rPr>
            </w:pPr>
            <w:r w:rsidRPr="006019FE">
              <w:rPr>
                <w:b/>
                <w:bCs/>
                <w:color w:val="385623" w:themeColor="accent6" w:themeShade="80"/>
                <w:sz w:val="24"/>
                <w:szCs w:val="24"/>
              </w:rPr>
              <w:t>Prioriteet: 4.</w:t>
            </w:r>
            <w:r w:rsidRPr="006019FE">
              <w:rPr>
                <w:color w:val="385623" w:themeColor="accent6" w:themeShade="80"/>
                <w:sz w:val="24"/>
                <w:szCs w:val="24"/>
              </w:rPr>
              <w:t xml:space="preserve"> </w:t>
            </w:r>
            <w:r w:rsidRPr="006019FE">
              <w:rPr>
                <w:b/>
                <w:bCs/>
                <w:color w:val="385623" w:themeColor="accent6" w:themeShade="80"/>
                <w:sz w:val="24"/>
                <w:szCs w:val="24"/>
              </w:rPr>
              <w:t>Eesti keele elujõud ja toimimine esmase keelena igas eluvaldkonnas</w:t>
            </w:r>
          </w:p>
        </w:tc>
      </w:tr>
      <w:tr w:rsidR="0004740B" w14:paraId="540BD506" w14:textId="77777777" w:rsidTr="006019FE">
        <w:tc>
          <w:tcPr>
            <w:tcW w:w="9628" w:type="dxa"/>
            <w:gridSpan w:val="2"/>
            <w:shd w:val="clear" w:color="auto" w:fill="E2EFD9" w:themeFill="accent6" w:themeFillTint="33"/>
          </w:tcPr>
          <w:p w14:paraId="3C6E9E70" w14:textId="77777777" w:rsidR="0004740B" w:rsidRPr="00C417A9" w:rsidRDefault="0004740B" w:rsidP="00C417A9">
            <w:pPr>
              <w:spacing w:after="40"/>
              <w:rPr>
                <w:b/>
                <w:color w:val="385623" w:themeColor="accent6" w:themeShade="80"/>
              </w:rPr>
            </w:pPr>
            <w:r w:rsidRPr="00C417A9">
              <w:rPr>
                <w:b/>
                <w:bCs/>
                <w:color w:val="385623" w:themeColor="accent6" w:themeShade="80"/>
              </w:rPr>
              <w:t>Fookus</w:t>
            </w:r>
            <w:r w:rsidRPr="00C417A9">
              <w:rPr>
                <w:color w:val="385623" w:themeColor="accent6" w:themeShade="80"/>
              </w:rPr>
              <w:t xml:space="preserve">: </w:t>
            </w:r>
            <w:r w:rsidRPr="00C417A9">
              <w:rPr>
                <w:rFonts w:eastAsiaTheme="minorEastAsia"/>
                <w:b/>
                <w:color w:val="385623" w:themeColor="accent6" w:themeShade="80"/>
                <w:kern w:val="24"/>
              </w:rPr>
              <w:t>4.2.</w:t>
            </w:r>
            <w:r w:rsidRPr="00C417A9">
              <w:rPr>
                <w:b/>
                <w:color w:val="385623" w:themeColor="accent6" w:themeShade="80"/>
              </w:rPr>
              <w:t xml:space="preserve"> Keeletaristu ja keeletehnoloogia</w:t>
            </w:r>
          </w:p>
          <w:p w14:paraId="251FE7C9" w14:textId="69C0ED93" w:rsidR="0004740B" w:rsidRPr="0004740B" w:rsidRDefault="0004740B" w:rsidP="00C417A9">
            <w:pPr>
              <w:numPr>
                <w:ilvl w:val="0"/>
                <w:numId w:val="5"/>
              </w:numPr>
              <w:spacing w:after="40"/>
              <w:jc w:val="both"/>
              <w:rPr>
                <w:rFonts w:eastAsiaTheme="minorEastAsia"/>
                <w:b/>
                <w:bCs/>
              </w:rPr>
            </w:pPr>
            <w:r w:rsidRPr="0004740B">
              <w:rPr>
                <w:rFonts w:eastAsiaTheme="minorEastAsia"/>
                <w:b/>
                <w:bCs/>
              </w:rPr>
              <w:t>Keeletehnoloogia arendamine ja kasutuselevõtt</w:t>
            </w:r>
          </w:p>
        </w:tc>
      </w:tr>
      <w:tr w:rsidR="0004740B" w14:paraId="5E583B58" w14:textId="77777777" w:rsidTr="006019FE">
        <w:tc>
          <w:tcPr>
            <w:tcW w:w="9628" w:type="dxa"/>
            <w:gridSpan w:val="2"/>
            <w:shd w:val="clear" w:color="auto" w:fill="E2EFD9" w:themeFill="accent6" w:themeFillTint="33"/>
          </w:tcPr>
          <w:p w14:paraId="2FE9217E" w14:textId="77777777" w:rsidR="0004740B" w:rsidRPr="00C417A9" w:rsidRDefault="0004740B" w:rsidP="00C417A9">
            <w:pPr>
              <w:spacing w:after="40"/>
              <w:rPr>
                <w:b/>
                <w:color w:val="385623" w:themeColor="accent6" w:themeShade="80"/>
              </w:rPr>
            </w:pPr>
            <w:r w:rsidRPr="00C417A9">
              <w:rPr>
                <w:b/>
                <w:bCs/>
                <w:color w:val="385623" w:themeColor="accent6" w:themeShade="80"/>
              </w:rPr>
              <w:t>Fookus</w:t>
            </w:r>
            <w:r w:rsidRPr="00C417A9">
              <w:rPr>
                <w:color w:val="385623" w:themeColor="accent6" w:themeShade="80"/>
              </w:rPr>
              <w:t xml:space="preserve">: </w:t>
            </w:r>
            <w:r w:rsidRPr="00C417A9">
              <w:rPr>
                <w:rFonts w:eastAsiaTheme="minorEastAsia"/>
                <w:b/>
                <w:color w:val="385623" w:themeColor="accent6" w:themeShade="80"/>
                <w:kern w:val="24"/>
              </w:rPr>
              <w:t>4.3.</w:t>
            </w:r>
            <w:r w:rsidRPr="00C417A9">
              <w:rPr>
                <w:b/>
                <w:color w:val="385623" w:themeColor="accent6" w:themeShade="80"/>
              </w:rPr>
              <w:t xml:space="preserve"> Kvaliteetne eestikeelne õpe</w:t>
            </w:r>
            <w:r w:rsidRPr="00C417A9">
              <w:rPr>
                <w:b/>
                <w:bCs/>
                <w:color w:val="385623" w:themeColor="accent6" w:themeShade="80"/>
              </w:rPr>
              <w:t xml:space="preserve"> ja </w:t>
            </w:r>
            <w:r w:rsidRPr="00C417A9">
              <w:rPr>
                <w:b/>
                <w:color w:val="385623" w:themeColor="accent6" w:themeShade="80"/>
              </w:rPr>
              <w:t>eesti keele õpe</w:t>
            </w:r>
          </w:p>
          <w:p w14:paraId="38EBAE79" w14:textId="77777777" w:rsidR="0004740B" w:rsidRPr="0004740B" w:rsidRDefault="0004740B" w:rsidP="00C417A9">
            <w:pPr>
              <w:numPr>
                <w:ilvl w:val="0"/>
                <w:numId w:val="19"/>
              </w:numPr>
              <w:spacing w:after="40"/>
              <w:jc w:val="both"/>
              <w:rPr>
                <w:rFonts w:eastAsiaTheme="minorEastAsia"/>
                <w:sz w:val="20"/>
                <w:szCs w:val="20"/>
              </w:rPr>
            </w:pPr>
            <w:r w:rsidRPr="0004740B">
              <w:rPr>
                <w:rFonts w:eastAsiaTheme="minorEastAsia"/>
                <w:b/>
                <w:sz w:val="20"/>
                <w:szCs w:val="20"/>
              </w:rPr>
              <w:t>Eesti keel teise keelena alus-, üld- ja kutsehariduses ning üleminek valdavalt eestikeelsele õppetööle</w:t>
            </w:r>
            <w:r w:rsidRPr="0004740B">
              <w:rPr>
                <w:rFonts w:eastAsiaTheme="minorEastAsia"/>
                <w:sz w:val="20"/>
                <w:szCs w:val="20"/>
              </w:rPr>
              <w:t xml:space="preserve"> lasteaedades ja koolides aastaks 2035</w:t>
            </w:r>
          </w:p>
          <w:p w14:paraId="4491301C" w14:textId="77777777" w:rsidR="0004740B" w:rsidRPr="0004740B" w:rsidRDefault="0004740B" w:rsidP="00C417A9">
            <w:pPr>
              <w:numPr>
                <w:ilvl w:val="0"/>
                <w:numId w:val="19"/>
              </w:numPr>
              <w:spacing w:after="40"/>
              <w:jc w:val="both"/>
              <w:rPr>
                <w:rFonts w:eastAsiaTheme="minorEastAsia"/>
                <w:sz w:val="20"/>
                <w:szCs w:val="20"/>
              </w:rPr>
            </w:pPr>
            <w:r w:rsidRPr="0004740B">
              <w:rPr>
                <w:rFonts w:eastAsiaTheme="minorEastAsia"/>
                <w:b/>
                <w:bCs/>
                <w:sz w:val="20"/>
                <w:szCs w:val="20"/>
              </w:rPr>
              <w:t>Eesti keele kui kõrgharidus- ja teaduskeele ning terminoloogia arendamine</w:t>
            </w:r>
          </w:p>
          <w:p w14:paraId="13091430" w14:textId="4952EDED" w:rsidR="0004740B" w:rsidRPr="0004740B" w:rsidRDefault="0004740B" w:rsidP="00C417A9">
            <w:pPr>
              <w:numPr>
                <w:ilvl w:val="0"/>
                <w:numId w:val="19"/>
              </w:numPr>
              <w:spacing w:after="40"/>
              <w:jc w:val="both"/>
              <w:rPr>
                <w:rFonts w:eastAsiaTheme="minorEastAsia"/>
              </w:rPr>
            </w:pPr>
            <w:r w:rsidRPr="0004740B">
              <w:rPr>
                <w:rFonts w:eastAsiaTheme="minorEastAsia"/>
                <w:b/>
                <w:bCs/>
                <w:sz w:val="20"/>
                <w:szCs w:val="20"/>
              </w:rPr>
              <w:t>Täiskasvanute eesti keele kui teise keele õpe</w:t>
            </w:r>
            <w:r w:rsidRPr="0004740B">
              <w:rPr>
                <w:rFonts w:eastAsiaTheme="minorEastAsia"/>
                <w:b/>
                <w:bCs/>
              </w:rPr>
              <w:t xml:space="preserve"> </w:t>
            </w:r>
          </w:p>
        </w:tc>
      </w:tr>
      <w:tr w:rsidR="00AA51F7" w14:paraId="6BCCA457" w14:textId="77777777" w:rsidTr="00D44E53">
        <w:tc>
          <w:tcPr>
            <w:tcW w:w="9628" w:type="dxa"/>
            <w:gridSpan w:val="2"/>
          </w:tcPr>
          <w:p w14:paraId="58E95F2A" w14:textId="77777777" w:rsidR="00AA51F7" w:rsidRDefault="00AA51F7" w:rsidP="00320378">
            <w:pPr>
              <w:spacing w:after="120"/>
              <w:rPr>
                <w:sz w:val="20"/>
                <w:szCs w:val="20"/>
              </w:rPr>
            </w:pPr>
            <w:r>
              <w:t>…</w:t>
            </w:r>
            <w:r w:rsidRPr="001D6211">
              <w:rPr>
                <w:sz w:val="20"/>
                <w:szCs w:val="20"/>
              </w:rPr>
              <w:t xml:space="preserve">  </w:t>
            </w:r>
          </w:p>
          <w:p w14:paraId="1AC2E36A" w14:textId="77777777" w:rsidR="00EF7252" w:rsidRDefault="00EF7252" w:rsidP="00320378">
            <w:pPr>
              <w:spacing w:after="120"/>
            </w:pPr>
          </w:p>
          <w:p w14:paraId="7DE59687" w14:textId="2F563F30" w:rsidR="003D4A2C" w:rsidRPr="0011032D" w:rsidRDefault="003D4A2C" w:rsidP="00320378">
            <w:pPr>
              <w:spacing w:after="120"/>
            </w:pPr>
          </w:p>
        </w:tc>
      </w:tr>
      <w:tr w:rsidR="00AA51F7" w14:paraId="443E0262" w14:textId="77777777" w:rsidTr="00D44E53">
        <w:tc>
          <w:tcPr>
            <w:tcW w:w="9628" w:type="dxa"/>
            <w:gridSpan w:val="2"/>
            <w:shd w:val="clear" w:color="auto" w:fill="D9E2F3" w:themeFill="accent5" w:themeFillTint="33"/>
          </w:tcPr>
          <w:p w14:paraId="4330DA93" w14:textId="7AED242E" w:rsidR="00AA51F7" w:rsidRDefault="0047224A" w:rsidP="00EF01B4">
            <w:pPr>
              <w:spacing w:after="120"/>
            </w:pPr>
            <w:r>
              <w:rPr>
                <w:b/>
                <w:i/>
                <w:color w:val="002060"/>
              </w:rPr>
              <w:t>7</w:t>
            </w:r>
            <w:r w:rsidR="00AA51F7">
              <w:rPr>
                <w:b/>
                <w:i/>
                <w:color w:val="002060"/>
              </w:rPr>
              <w:t>. Taotleja kinnitus</w:t>
            </w:r>
            <w:r w:rsidR="00EF01B4">
              <w:rPr>
                <w:i/>
                <w:color w:val="002060"/>
              </w:rPr>
              <w:t xml:space="preserve"> </w:t>
            </w:r>
          </w:p>
        </w:tc>
      </w:tr>
      <w:tr w:rsidR="00AA51F7" w14:paraId="7F5238C6" w14:textId="77777777" w:rsidTr="00D44E53">
        <w:tc>
          <w:tcPr>
            <w:tcW w:w="9628" w:type="dxa"/>
            <w:gridSpan w:val="2"/>
            <w:shd w:val="clear" w:color="auto" w:fill="D9E2F3" w:themeFill="accent5" w:themeFillTint="33"/>
          </w:tcPr>
          <w:p w14:paraId="19EE404C" w14:textId="1757840C" w:rsidR="00AA51F7" w:rsidRDefault="00AA51F7" w:rsidP="009E34A1">
            <w:r>
              <w:t>Oma taotlus</w:t>
            </w:r>
            <w:r w:rsidR="00EF01B4">
              <w:t>t</w:t>
            </w:r>
            <w:r>
              <w:t xml:space="preserve"> </w:t>
            </w:r>
            <w:r w:rsidR="00EF01B4">
              <w:t xml:space="preserve">infosüsteemi kaudu </w:t>
            </w:r>
            <w:r>
              <w:t xml:space="preserve">esitades kinnitan, et: </w:t>
            </w:r>
          </w:p>
          <w:p w14:paraId="64255D27" w14:textId="77777777" w:rsidR="00AA51F7" w:rsidRPr="003D2CE1" w:rsidRDefault="00AA51F7" w:rsidP="009E34A1">
            <w:r>
              <w:t xml:space="preserve"> 1) võtan</w:t>
            </w:r>
            <w:r w:rsidRPr="003D2CE1">
              <w:t xml:space="preserve"> taotlust esitades kohustuse strateegiliseks partneriks saades viia ellu taotluses väljatoodu (sh ka </w:t>
            </w:r>
            <w:r>
              <w:t xml:space="preserve">punktides </w:t>
            </w:r>
            <w:r w:rsidRPr="00A06863">
              <w:rPr>
                <w:color w:val="002060"/>
              </w:rPr>
              <w:t xml:space="preserve">4-5 </w:t>
            </w:r>
            <w:r w:rsidRPr="003D2CE1">
              <w:t xml:space="preserve">näidatud arendustegevused); </w:t>
            </w:r>
          </w:p>
          <w:p w14:paraId="08738E31" w14:textId="1B380D72" w:rsidR="00AA51F7" w:rsidRPr="003D2CE1" w:rsidRDefault="00AA51F7" w:rsidP="009E34A1">
            <w:r>
              <w:t xml:space="preserve"> </w:t>
            </w:r>
            <w:r w:rsidR="0047224A" w:rsidRPr="00A01593">
              <w:t>2</w:t>
            </w:r>
            <w:r w:rsidRPr="00A01593">
              <w:t>) võtan</w:t>
            </w:r>
            <w:r w:rsidRPr="0047224A">
              <w:t xml:space="preserve"> vastutuse alljärgnevate HTMi strateegilisele partnerile püstitatud ootuste/ülesannete täitmise eest.</w:t>
            </w:r>
            <w:r w:rsidRPr="003D2CE1">
              <w:t xml:space="preserve"> </w:t>
            </w:r>
          </w:p>
          <w:p w14:paraId="51387F74" w14:textId="6FEF905B" w:rsidR="00AA51F7" w:rsidRPr="00AB7910" w:rsidRDefault="00AA51F7" w:rsidP="009E34A1">
            <w:pPr>
              <w:pStyle w:val="Normaallaadveeb"/>
              <w:spacing w:before="0" w:beforeAutospacing="0" w:after="0" w:afterAutospacing="0"/>
              <w:rPr>
                <w:rFonts w:asciiTheme="minorHAnsi" w:hAnsiTheme="minorHAnsi" w:cstheme="minorHAnsi"/>
                <w:b/>
                <w:color w:val="002060"/>
                <w:sz w:val="22"/>
                <w:szCs w:val="22"/>
              </w:rPr>
            </w:pPr>
            <w:r w:rsidRPr="00AB7910">
              <w:rPr>
                <w:rFonts w:asciiTheme="minorHAnsi" w:hAnsiTheme="minorHAnsi" w:cstheme="minorHAnsi"/>
                <w:b/>
                <w:color w:val="002060"/>
                <w:sz w:val="22"/>
                <w:szCs w:val="22"/>
              </w:rPr>
              <w:t xml:space="preserve">Haridus- ja teadusministeeriumi strateegilise partneri vastutus:  </w:t>
            </w:r>
          </w:p>
          <w:p w14:paraId="7F7E668B" w14:textId="77777777" w:rsidR="00AA51F7" w:rsidRPr="00AB7910" w:rsidRDefault="00AA51F7" w:rsidP="009E34A1">
            <w:pPr>
              <w:pStyle w:val="Normaallaadveeb"/>
              <w:numPr>
                <w:ilvl w:val="0"/>
                <w:numId w:val="2"/>
              </w:numPr>
              <w:spacing w:before="0" w:beforeAutospacing="0" w:after="0" w:afterAutospacing="0"/>
              <w:rPr>
                <w:rFonts w:asciiTheme="minorHAnsi" w:hAnsiTheme="minorHAnsi" w:cstheme="minorHAnsi"/>
                <w:b/>
                <w:color w:val="002060"/>
                <w:sz w:val="22"/>
                <w:szCs w:val="22"/>
              </w:rPr>
            </w:pPr>
            <w:r w:rsidRPr="00AB7910">
              <w:rPr>
                <w:rFonts w:asciiTheme="minorHAnsi" w:hAnsiTheme="minorHAnsi" w:cstheme="minorHAnsi"/>
                <w:b/>
                <w:color w:val="002060"/>
                <w:sz w:val="22"/>
                <w:szCs w:val="22"/>
              </w:rPr>
              <w:t xml:space="preserve">Partner tagab koordineeritud ja laiapõhjaliselt kujundatud liikmeskonna/huvirühma seisukohad.  </w:t>
            </w:r>
          </w:p>
          <w:p w14:paraId="2F30E7CB" w14:textId="77777777" w:rsidR="00AA51F7" w:rsidRPr="00AB7910" w:rsidRDefault="00AA51F7" w:rsidP="009E34A1">
            <w:pPr>
              <w:pStyle w:val="Normaallaadveeb"/>
              <w:numPr>
                <w:ilvl w:val="0"/>
                <w:numId w:val="2"/>
              </w:numPr>
              <w:spacing w:before="0" w:beforeAutospacing="0" w:after="0" w:afterAutospacing="0"/>
              <w:rPr>
                <w:rFonts w:asciiTheme="minorHAnsi" w:hAnsiTheme="minorHAnsi" w:cstheme="minorHAnsi"/>
                <w:b/>
                <w:color w:val="002060"/>
                <w:sz w:val="22"/>
                <w:szCs w:val="22"/>
              </w:rPr>
            </w:pPr>
            <w:r w:rsidRPr="00AB7910">
              <w:rPr>
                <w:rFonts w:asciiTheme="minorHAnsi" w:hAnsiTheme="minorHAnsi" w:cstheme="minorHAnsi"/>
                <w:b/>
                <w:color w:val="002060"/>
                <w:sz w:val="22"/>
                <w:szCs w:val="22"/>
              </w:rPr>
              <w:t xml:space="preserve">Partner avalikustab olulisemates küsimustes nimetatud seisukohad ja on valmis neid kommunikeerima ja kaitsma ka muudes komisjonides, töögruppides jne, näiteks aruteludel Riigikogu komisjonides, kohtumistel teiste ministeeriumite esindajatega jne.  </w:t>
            </w:r>
          </w:p>
          <w:p w14:paraId="023935FC" w14:textId="77777777" w:rsidR="00AA51F7" w:rsidRPr="00AB7910" w:rsidRDefault="00AA51F7" w:rsidP="009E34A1">
            <w:pPr>
              <w:pStyle w:val="Normaallaadveeb"/>
              <w:numPr>
                <w:ilvl w:val="0"/>
                <w:numId w:val="2"/>
              </w:numPr>
              <w:spacing w:before="0" w:beforeAutospacing="0" w:after="0" w:afterAutospacing="0"/>
              <w:rPr>
                <w:rFonts w:asciiTheme="minorHAnsi" w:hAnsiTheme="minorHAnsi" w:cstheme="minorHAnsi"/>
                <w:b/>
                <w:color w:val="002060"/>
                <w:sz w:val="22"/>
                <w:szCs w:val="22"/>
              </w:rPr>
            </w:pPr>
            <w:r w:rsidRPr="00AB7910">
              <w:rPr>
                <w:rFonts w:asciiTheme="minorHAnsi" w:hAnsiTheme="minorHAnsi" w:cstheme="minorHAnsi"/>
                <w:b/>
                <w:color w:val="002060"/>
                <w:sz w:val="22"/>
                <w:szCs w:val="22"/>
              </w:rPr>
              <w:t xml:space="preserve">Partner tagab, et esindatava liikmeskonna/huvirühma kõikidel liikmetel on võimalus leida infot selle kohta, kes nende seisukohti suhtlemisel HTMiga esindab, millistel olulisematel teemadel seda hetkel tehakse ning loodud on kanal oma arvamuse esitamiseks.  </w:t>
            </w:r>
          </w:p>
          <w:p w14:paraId="67D8B2DA" w14:textId="2A863A2D" w:rsidR="00AA51F7" w:rsidRPr="00AB7910" w:rsidRDefault="00AA51F7" w:rsidP="00AB7910">
            <w:pPr>
              <w:pStyle w:val="Normaallaadveeb"/>
              <w:numPr>
                <w:ilvl w:val="0"/>
                <w:numId w:val="2"/>
              </w:numPr>
              <w:spacing w:before="0" w:beforeAutospacing="0" w:after="120" w:afterAutospacing="0"/>
              <w:rPr>
                <w:rFonts w:asciiTheme="minorHAnsi" w:hAnsiTheme="minorHAnsi" w:cstheme="minorHAnsi"/>
                <w:i/>
                <w:color w:val="002060"/>
                <w:sz w:val="20"/>
                <w:szCs w:val="20"/>
              </w:rPr>
            </w:pPr>
            <w:r w:rsidRPr="00AB7910">
              <w:rPr>
                <w:rFonts w:asciiTheme="minorHAnsi" w:hAnsiTheme="minorHAnsi" w:cstheme="minorHAnsi"/>
                <w:b/>
                <w:color w:val="002060"/>
                <w:sz w:val="22"/>
                <w:szCs w:val="22"/>
              </w:rPr>
              <w:t>Partner väldib huvide konflikte.</w:t>
            </w:r>
            <w:r w:rsidRPr="002C222C">
              <w:rPr>
                <w:rFonts w:asciiTheme="minorHAnsi" w:hAnsiTheme="minorHAnsi" w:cstheme="minorHAnsi"/>
                <w:b/>
                <w:color w:val="002060"/>
              </w:rPr>
              <w:t xml:space="preserve">  </w:t>
            </w:r>
          </w:p>
        </w:tc>
      </w:tr>
      <w:tr w:rsidR="00AA51F7" w14:paraId="42005E19" w14:textId="77777777" w:rsidTr="00D44E53">
        <w:tc>
          <w:tcPr>
            <w:tcW w:w="9628" w:type="dxa"/>
            <w:gridSpan w:val="2"/>
            <w:shd w:val="clear" w:color="auto" w:fill="D9E2F3" w:themeFill="accent5" w:themeFillTint="33"/>
          </w:tcPr>
          <w:p w14:paraId="10590423" w14:textId="19A3B40A" w:rsidR="00AA51F7" w:rsidRDefault="00AA51F7" w:rsidP="0050302F">
            <w:r>
              <w:t xml:space="preserve">Taotluse esitamine läbi taotluskeskkonna loetakse võrdseks taotluse kinnitamisega, eraldi taotlust </w:t>
            </w:r>
            <w:r w:rsidR="0050302F">
              <w:t>(digi)</w:t>
            </w:r>
            <w:r>
              <w:t xml:space="preserve">allkirjastada pole vaja.  </w:t>
            </w:r>
          </w:p>
        </w:tc>
      </w:tr>
    </w:tbl>
    <w:p w14:paraId="2326C571" w14:textId="3B62419B" w:rsidR="003D2CE1" w:rsidRDefault="003D2CE1"/>
    <w:p w14:paraId="437BA383" w14:textId="546551F2" w:rsidR="00501DCE" w:rsidRPr="00501DCE" w:rsidRDefault="00501DCE">
      <w:pPr>
        <w:rPr>
          <w:color w:val="FF0000"/>
        </w:rPr>
      </w:pPr>
      <w:r w:rsidRPr="00501DCE">
        <w:rPr>
          <w:color w:val="FF0000"/>
        </w:rPr>
        <w:t xml:space="preserve">NB! Peale vormi täitmist palun kustutage juhiste kommentaarid. </w:t>
      </w:r>
      <w:bookmarkStart w:id="5" w:name="_GoBack"/>
      <w:bookmarkEnd w:id="5"/>
    </w:p>
    <w:sectPr w:rsidR="00501DCE" w:rsidRPr="00501DCE" w:rsidSect="00EA7C66">
      <w:footerReference w:type="default" r:id="rId12"/>
      <w:pgSz w:w="11906" w:h="16838"/>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u Lihtmaa" w:date="2021-12-09T21:42:00Z" w:initials="AL">
    <w:p w14:paraId="301A5536" w14:textId="6A6D1626" w:rsidR="00CA1BBA" w:rsidRDefault="00CA1BBA">
      <w:pPr>
        <w:pStyle w:val="Kommentaaritekst"/>
      </w:pPr>
      <w:r w:rsidRPr="00CA1BBA">
        <w:rPr>
          <w:rStyle w:val="Kommentaariviide"/>
          <w:b/>
        </w:rPr>
        <w:annotationRef/>
      </w:r>
      <w:r w:rsidR="009F3C4E" w:rsidRPr="009F3C4E">
        <w:rPr>
          <w:b/>
        </w:rPr>
        <w:t>JUHIS:</w:t>
      </w:r>
      <w:r w:rsidR="009F3C4E">
        <w:rPr>
          <w:b/>
        </w:rPr>
        <w:t xml:space="preserve"> </w:t>
      </w:r>
      <w:r w:rsidRPr="008C6073">
        <w:t>Kui esitatakse mitme organisatsiooni ühistaotlus, tuua välja kõikide nimed ja markeerida, et tegemist ühistaotlusega.</w:t>
      </w:r>
      <w:r w:rsidR="007B1E76" w:rsidRPr="008C6073">
        <w:t xml:space="preserve"> Samuti tuua välja iga organisatsiooni põhikirjaline eesmärk.</w:t>
      </w:r>
    </w:p>
  </w:comment>
  <w:comment w:id="1" w:author="Anu Lihtmaa" w:date="2021-12-09T21:43:00Z" w:initials="AL">
    <w:p w14:paraId="7B188641" w14:textId="22D412D9" w:rsidR="00CA1BBA" w:rsidRPr="00741803" w:rsidRDefault="00CA1BBA" w:rsidP="00CA1BBA">
      <w:pPr>
        <w:spacing w:after="120"/>
        <w:rPr>
          <w:sz w:val="20"/>
          <w:szCs w:val="20"/>
        </w:rPr>
      </w:pPr>
      <w:r>
        <w:rPr>
          <w:rStyle w:val="Kommentaariviide"/>
        </w:rPr>
        <w:annotationRef/>
      </w:r>
      <w:r w:rsidRPr="00741803">
        <w:rPr>
          <w:b/>
          <w:sz w:val="20"/>
          <w:szCs w:val="20"/>
        </w:rPr>
        <w:t>J</w:t>
      </w:r>
      <w:r w:rsidR="00741803">
        <w:rPr>
          <w:b/>
          <w:sz w:val="20"/>
          <w:szCs w:val="20"/>
        </w:rPr>
        <w:t>UHIS</w:t>
      </w:r>
      <w:r w:rsidRPr="00741803">
        <w:rPr>
          <w:b/>
          <w:sz w:val="20"/>
          <w:szCs w:val="20"/>
        </w:rPr>
        <w:t>:</w:t>
      </w:r>
      <w:r w:rsidRPr="00741803">
        <w:rPr>
          <w:sz w:val="20"/>
          <w:szCs w:val="20"/>
        </w:rPr>
        <w:t xml:space="preserve"> </w:t>
      </w:r>
      <w:r w:rsidR="008C6073">
        <w:rPr>
          <w:sz w:val="20"/>
          <w:szCs w:val="20"/>
        </w:rPr>
        <w:t>Tooge</w:t>
      </w:r>
      <w:r w:rsidRPr="00741803">
        <w:rPr>
          <w:sz w:val="20"/>
          <w:szCs w:val="20"/>
        </w:rPr>
        <w:t xml:space="preserve"> vabas vormis paari lausega välja organisatsioonid ja üksikisikud. </w:t>
      </w:r>
      <w:r w:rsidR="00497DC2">
        <w:rPr>
          <w:sz w:val="20"/>
          <w:szCs w:val="20"/>
        </w:rPr>
        <w:t>Näiteks</w:t>
      </w:r>
      <w:r w:rsidRPr="00741803">
        <w:rPr>
          <w:sz w:val="20"/>
          <w:szCs w:val="20"/>
        </w:rPr>
        <w:t>:</w:t>
      </w:r>
    </w:p>
    <w:p w14:paraId="76E363F2" w14:textId="77777777" w:rsidR="00CA1BBA" w:rsidRPr="00741803" w:rsidRDefault="00CA1BBA" w:rsidP="00CA1BBA">
      <w:pPr>
        <w:spacing w:after="120"/>
        <w:rPr>
          <w:sz w:val="20"/>
          <w:szCs w:val="20"/>
        </w:rPr>
      </w:pPr>
      <w:r w:rsidRPr="00741803">
        <w:rPr>
          <w:sz w:val="20"/>
          <w:szCs w:val="20"/>
        </w:rPr>
        <w:t xml:space="preserve">1. Ühenduse liikmeteks on 5 regionaalset tugispetsialistide ühendust, kelle liikmeteks kokku 300 tugispetsialisti. Eestis kokku on ca 800 tugispetsialisti. </w:t>
      </w:r>
    </w:p>
    <w:p w14:paraId="277320F0" w14:textId="6EDD4B17" w:rsidR="00CA1BBA" w:rsidRDefault="00CA1BBA" w:rsidP="00CA1BBA">
      <w:pPr>
        <w:pStyle w:val="Kommentaaritekst"/>
      </w:pPr>
      <w:r w:rsidRPr="00741803">
        <w:t>3. Ühenduse liikmeteks on 500 koolides töötavat tugispetsialisti, kuid läbi infokirjade kaasatakse teemadesse kõiki ca 800 koolides töötavat tugispetsialisti ja 150 KOV-ides töötavad tugispetsialisti.</w:t>
      </w:r>
    </w:p>
  </w:comment>
  <w:comment w:id="2" w:author="Anu Lihtmaa" w:date="2021-12-10T09:57:00Z" w:initials="AL">
    <w:p w14:paraId="2E1F913F" w14:textId="5F8C223D" w:rsidR="000C7635" w:rsidRDefault="000C7635">
      <w:pPr>
        <w:pStyle w:val="Kommentaaritekst"/>
      </w:pPr>
      <w:r>
        <w:rPr>
          <w:rStyle w:val="Kommentaariviide"/>
        </w:rPr>
        <w:annotationRef/>
      </w:r>
      <w:r w:rsidRPr="000C7635">
        <w:rPr>
          <w:b/>
        </w:rPr>
        <w:t>JUHIS:</w:t>
      </w:r>
      <w:r w:rsidRPr="000C7635">
        <w:t xml:space="preserve"> </w:t>
      </w:r>
      <w:r>
        <w:t>Tooge</w:t>
      </w:r>
      <w:r w:rsidRPr="000C7635">
        <w:t xml:space="preserve"> välja </w:t>
      </w:r>
      <w:r w:rsidR="00497DC2">
        <w:t>paari</w:t>
      </w:r>
      <w:r w:rsidRPr="000C7635">
        <w:t xml:space="preserve"> lause või nimekirjana, milliseid info- ja kaasamiskanaleid liikmete ning avalikkuse teavi</w:t>
      </w:r>
      <w:r>
        <w:t>tamiseks ja kaasamiseks kasutate</w:t>
      </w:r>
      <w:r w:rsidRPr="000C7635">
        <w:t xml:space="preserve">, näit koduleht (viide kodulehele), listid (sh umbkaudne liikmete arv), regulaarsed üritused jne. Lisaks tuua välja ka info– ja suhtluskanalite </w:t>
      </w:r>
      <w:r w:rsidR="00497DC2">
        <w:t>planeeritavad arendustegevused.</w:t>
      </w:r>
      <w:r w:rsidRPr="000C7635">
        <w:t xml:space="preserve">  </w:t>
      </w:r>
    </w:p>
  </w:comment>
  <w:comment w:id="3" w:author="Anu Lihtmaa" w:date="2021-12-10T09:58:00Z" w:initials="AL">
    <w:p w14:paraId="24C277B7" w14:textId="265CD845" w:rsidR="000C7635" w:rsidRDefault="000C7635">
      <w:pPr>
        <w:pStyle w:val="Kommentaaritekst"/>
      </w:pPr>
      <w:r w:rsidRPr="000C7635">
        <w:rPr>
          <w:rStyle w:val="Kommentaariviide"/>
          <w:b/>
        </w:rPr>
        <w:annotationRef/>
      </w:r>
      <w:r w:rsidRPr="000C7635">
        <w:rPr>
          <w:b/>
        </w:rPr>
        <w:t>JUHIS:</w:t>
      </w:r>
      <w:r w:rsidR="00BC2001">
        <w:t xml:space="preserve"> Kirjeldage</w:t>
      </w:r>
      <w:r w:rsidRPr="000C7635">
        <w:t xml:space="preserve"> paari lausega, kuidas on üles ehitatud liikmete arvamuste esitamise ja ühtsete seisukohtade kujundamise protsess, mida kasutatakse HTMi poliitikamuudatuste puhul. Näidata ära nö. teekaarti, kuidas kaasatus ülevalt alla jõuab ning lisada kirjeldus, kuidas tagatakse, et organisatsiooni nimel kujundatakse seisukohti laiapõhjaliselt. Lisaks tuua välja, kui on plaanis vastavaid arendustegevusi. Palume samuti välja tuua, kas organisatsioon kogub liikmetelt tagasisidet oma tegevuse koh</w:t>
      </w:r>
      <w:r w:rsidR="00BC2001">
        <w:t>ta ning kui kogub, siis kuidas.</w:t>
      </w:r>
    </w:p>
  </w:comment>
  <w:comment w:id="4" w:author="Anu Lihtmaa" w:date="2021-12-09T21:44:00Z" w:initials="AL">
    <w:p w14:paraId="75066742" w14:textId="53045249" w:rsidR="00CA1BBA" w:rsidRPr="003D4A2C" w:rsidRDefault="00CA1BBA" w:rsidP="00CA1BBA">
      <w:pPr>
        <w:spacing w:after="120"/>
        <w:rPr>
          <w:sz w:val="20"/>
          <w:szCs w:val="20"/>
        </w:rPr>
      </w:pPr>
      <w:r>
        <w:rPr>
          <w:rStyle w:val="Kommentaariviide"/>
        </w:rPr>
        <w:annotationRef/>
      </w:r>
      <w:r w:rsidR="00F152DC">
        <w:rPr>
          <w:b/>
          <w:sz w:val="20"/>
          <w:szCs w:val="20"/>
        </w:rPr>
        <w:t>JUHIS</w:t>
      </w:r>
      <w:r w:rsidRPr="003D4A2C">
        <w:rPr>
          <w:b/>
          <w:sz w:val="20"/>
          <w:szCs w:val="20"/>
        </w:rPr>
        <w:t>:</w:t>
      </w:r>
      <w:r w:rsidRPr="003D4A2C">
        <w:rPr>
          <w:sz w:val="20"/>
          <w:szCs w:val="20"/>
        </w:rPr>
        <w:t xml:space="preserve"> palun </w:t>
      </w:r>
      <w:r w:rsidR="000355C2" w:rsidRPr="003D4A2C">
        <w:rPr>
          <w:sz w:val="20"/>
          <w:szCs w:val="20"/>
        </w:rPr>
        <w:t xml:space="preserve">valige </w:t>
      </w:r>
      <w:r w:rsidR="003D4A2C" w:rsidRPr="003D4A2C">
        <w:rPr>
          <w:sz w:val="20"/>
          <w:szCs w:val="20"/>
        </w:rPr>
        <w:t>prioriteet</w:t>
      </w:r>
      <w:r w:rsidR="000355C2" w:rsidRPr="003D4A2C">
        <w:rPr>
          <w:sz w:val="20"/>
          <w:szCs w:val="20"/>
        </w:rPr>
        <w:t>,</w:t>
      </w:r>
      <w:r w:rsidRPr="003D4A2C">
        <w:rPr>
          <w:sz w:val="20"/>
          <w:szCs w:val="20"/>
        </w:rPr>
        <w:t xml:space="preserve"> mille raames näete organisatsioonil kõige suuremat rolli ja panust polii</w:t>
      </w:r>
      <w:r w:rsidR="000355C2" w:rsidRPr="003D4A2C">
        <w:rPr>
          <w:sz w:val="20"/>
          <w:szCs w:val="20"/>
        </w:rPr>
        <w:t xml:space="preserve">tika kujundamisel kaasa rääkida ning </w:t>
      </w:r>
      <w:r w:rsidR="003D4A2C" w:rsidRPr="003D4A2C">
        <w:rPr>
          <w:sz w:val="20"/>
          <w:szCs w:val="20"/>
        </w:rPr>
        <w:t xml:space="preserve">lisage </w:t>
      </w:r>
      <w:r w:rsidR="000355C2" w:rsidRPr="003D4A2C">
        <w:rPr>
          <w:sz w:val="20"/>
          <w:szCs w:val="20"/>
        </w:rPr>
        <w:t>selle all olevasse</w:t>
      </w:r>
      <w:r w:rsidR="003D4A2C" w:rsidRPr="003D4A2C">
        <w:rPr>
          <w:sz w:val="20"/>
          <w:szCs w:val="20"/>
        </w:rPr>
        <w:t xml:space="preserve"> lahtrisse</w:t>
      </w:r>
      <w:r w:rsidR="000355C2" w:rsidRPr="003D4A2C">
        <w:rPr>
          <w:sz w:val="20"/>
          <w:szCs w:val="20"/>
        </w:rPr>
        <w:t xml:space="preserve"> </w:t>
      </w:r>
      <w:r w:rsidR="003D4A2C" w:rsidRPr="003D4A2C">
        <w:rPr>
          <w:sz w:val="20"/>
          <w:szCs w:val="20"/>
        </w:rPr>
        <w:t>info</w:t>
      </w:r>
      <w:r w:rsidR="000355C2" w:rsidRPr="003D4A2C">
        <w:rPr>
          <w:sz w:val="20"/>
          <w:szCs w:val="20"/>
        </w:rPr>
        <w:t>, milliste poliitikamuudatuste raames soovite kaasa rääkida, milline</w:t>
      </w:r>
      <w:r w:rsidRPr="003D4A2C">
        <w:rPr>
          <w:sz w:val="20"/>
          <w:szCs w:val="20"/>
        </w:rPr>
        <w:t xml:space="preserve"> on </w:t>
      </w:r>
      <w:r w:rsidR="003D4A2C" w:rsidRPr="003D4A2C">
        <w:rPr>
          <w:sz w:val="20"/>
          <w:szCs w:val="20"/>
        </w:rPr>
        <w:t>ühenduse</w:t>
      </w:r>
      <w:r w:rsidRPr="003D4A2C">
        <w:rPr>
          <w:sz w:val="20"/>
          <w:szCs w:val="20"/>
        </w:rPr>
        <w:t xml:space="preserve"> panus ja kompetents </w:t>
      </w:r>
      <w:r w:rsidR="000355C2" w:rsidRPr="003D4A2C">
        <w:rPr>
          <w:sz w:val="20"/>
          <w:szCs w:val="20"/>
        </w:rPr>
        <w:t>nende teemade</w:t>
      </w:r>
      <w:r w:rsidRPr="003D4A2C">
        <w:rPr>
          <w:sz w:val="20"/>
          <w:szCs w:val="20"/>
        </w:rPr>
        <w:t xml:space="preserve"> juures, millistes HTM</w:t>
      </w:r>
      <w:r w:rsidR="003D4A2C" w:rsidRPr="003D4A2C">
        <w:rPr>
          <w:sz w:val="20"/>
          <w:szCs w:val="20"/>
        </w:rPr>
        <w:t>i ja HTMi-välistes töögruppides ja/või</w:t>
      </w:r>
      <w:r w:rsidR="000355C2" w:rsidRPr="003D4A2C">
        <w:rPr>
          <w:sz w:val="20"/>
          <w:szCs w:val="20"/>
        </w:rPr>
        <w:t xml:space="preserve"> </w:t>
      </w:r>
      <w:r w:rsidRPr="003D4A2C">
        <w:rPr>
          <w:sz w:val="20"/>
          <w:szCs w:val="20"/>
        </w:rPr>
        <w:t xml:space="preserve">komisjonides on ühendus viimase 3 aasta jooksul oma liikmete huvisid esindanud (sh ka Riigikogu kultuuri- jm komisjonid) ning milliste teiste (katus)organisatsioonidega te selles teemas koostööd teete. </w:t>
      </w:r>
      <w:r w:rsidR="000355C2" w:rsidRPr="003D4A2C">
        <w:rPr>
          <w:sz w:val="20"/>
          <w:szCs w:val="20"/>
        </w:rPr>
        <w:t>Kokku ühte lahtrisse</w:t>
      </w:r>
      <w:r w:rsidRPr="003D4A2C">
        <w:rPr>
          <w:sz w:val="20"/>
          <w:szCs w:val="20"/>
        </w:rPr>
        <w:t xml:space="preserve"> maksimaalselt </w:t>
      </w:r>
      <w:r w:rsidR="003D4A2C" w:rsidRPr="003D4A2C">
        <w:rPr>
          <w:sz w:val="20"/>
          <w:szCs w:val="20"/>
        </w:rPr>
        <w:t>½ lk teksti</w:t>
      </w:r>
      <w:r w:rsidRPr="003D4A2C">
        <w:rPr>
          <w:sz w:val="20"/>
          <w:szCs w:val="20"/>
        </w:rPr>
        <w:t xml:space="preserve">. </w:t>
      </w:r>
    </w:p>
    <w:p w14:paraId="2C66454D" w14:textId="780C3198" w:rsidR="00172088" w:rsidRPr="003D4A2C" w:rsidRDefault="00CA1BBA" w:rsidP="00CA1BBA">
      <w:pPr>
        <w:pStyle w:val="Kommentaaritekst"/>
      </w:pPr>
      <w:r w:rsidRPr="003D4A2C">
        <w:t xml:space="preserve">Kui soovite ka mõne muu </w:t>
      </w:r>
      <w:r w:rsidR="000355C2" w:rsidRPr="003D4A2C">
        <w:t>fookuse</w:t>
      </w:r>
      <w:r w:rsidR="008E0E07" w:rsidRPr="003D4A2C">
        <w:t xml:space="preserve"> poliitikamuudatuste</w:t>
      </w:r>
      <w:r w:rsidRPr="003D4A2C">
        <w:t xml:space="preserve"> puhul kaasa rääkida, lisage ka sinna sarnane lühike kirjeldus</w:t>
      </w:r>
      <w:r w:rsidR="000355C2" w:rsidRPr="003D4A2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A5536" w15:done="0"/>
  <w15:commentEx w15:paraId="277320F0" w15:done="0"/>
  <w15:commentEx w15:paraId="2E1F913F" w15:done="0"/>
  <w15:commentEx w15:paraId="24C277B7" w15:done="0"/>
  <w15:commentEx w15:paraId="2C664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05FA" w16cex:dateUtc="2021-09-17T09:18:00Z"/>
  <w16cex:commentExtensible w16cex:durableId="24EF0693" w16cex:dateUtc="2021-09-17T09:20:00Z"/>
  <w16cex:commentExtensible w16cex:durableId="24EF06EB" w16cex:dateUtc="2021-09-17T09:22:00Z"/>
  <w16cex:commentExtensible w16cex:durableId="24EF07A3" w16cex:dateUtc="2021-09-17T09:25:00Z"/>
  <w16cex:commentExtensible w16cex:durableId="24EF0794" w16cex:dateUtc="2021-09-17T09:24:00Z"/>
  <w16cex:commentExtensible w16cex:durableId="24EF07C6" w16cex:dateUtc="2021-09-17T09:25:00Z"/>
  <w16cex:commentExtensible w16cex:durableId="24EF07E3" w16cex:dateUtc="2021-09-17T09:26:00Z"/>
  <w16cex:commentExtensible w16cex:durableId="24EF0816" w16cex:dateUtc="2021-09-17T09:27:00Z"/>
  <w16cex:commentExtensible w16cex:durableId="24EF07FD" w16cex:dateUtc="2021-09-17T09:26:00Z"/>
  <w16cex:commentExtensible w16cex:durableId="24EF0821" w16cex:dateUtc="2021-09-17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221E7" w16cid:durableId="24EF05E2"/>
  <w16cid:commentId w16cid:paraId="69A0DB27" w16cid:durableId="24EF05E3"/>
  <w16cid:commentId w16cid:paraId="38D0D9D0" w16cid:durableId="24EF05FA"/>
  <w16cid:commentId w16cid:paraId="4171A09F" w16cid:durableId="24EF0693"/>
  <w16cid:commentId w16cid:paraId="4CC655DB" w16cid:durableId="24EF05E4"/>
  <w16cid:commentId w16cid:paraId="175BE957" w16cid:durableId="24EF06EB"/>
  <w16cid:commentId w16cid:paraId="542BA7E2" w16cid:durableId="24EF07A3"/>
  <w16cid:commentId w16cid:paraId="59311056" w16cid:durableId="24EF05E5"/>
  <w16cid:commentId w16cid:paraId="3C6AD816" w16cid:durableId="24EF0794"/>
  <w16cid:commentId w16cid:paraId="788B4005" w16cid:durableId="24EF05E6"/>
  <w16cid:commentId w16cid:paraId="2AE3F845" w16cid:durableId="24EF07C6"/>
  <w16cid:commentId w16cid:paraId="5F83484A" w16cid:durableId="24EF05E7"/>
  <w16cid:commentId w16cid:paraId="26B8BB44" w16cid:durableId="24EF07E3"/>
  <w16cid:commentId w16cid:paraId="113FE682" w16cid:durableId="24EF0816"/>
  <w16cid:commentId w16cid:paraId="093D0838" w16cid:durableId="24EF05E8"/>
  <w16cid:commentId w16cid:paraId="26707113" w16cid:durableId="24EF07FD"/>
  <w16cid:commentId w16cid:paraId="5CAE166A" w16cid:durableId="24EF0821"/>
  <w16cid:commentId w16cid:paraId="75A42D32" w16cid:durableId="24EF05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652F" w14:textId="77777777" w:rsidR="006D1079" w:rsidRDefault="006D1079" w:rsidP="006D1079">
      <w:pPr>
        <w:spacing w:after="0" w:line="240" w:lineRule="auto"/>
      </w:pPr>
      <w:r>
        <w:separator/>
      </w:r>
    </w:p>
  </w:endnote>
  <w:endnote w:type="continuationSeparator" w:id="0">
    <w:p w14:paraId="49B0E2F0" w14:textId="77777777" w:rsidR="006D1079" w:rsidRDefault="006D1079" w:rsidP="006D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495247"/>
      <w:docPartObj>
        <w:docPartGallery w:val="Page Numbers (Bottom of Page)"/>
        <w:docPartUnique/>
      </w:docPartObj>
    </w:sdtPr>
    <w:sdtEndPr/>
    <w:sdtContent>
      <w:p w14:paraId="3D950D8C" w14:textId="5A9A668B" w:rsidR="006D1079" w:rsidRDefault="006D1079">
        <w:pPr>
          <w:pStyle w:val="Jalus"/>
          <w:jc w:val="center"/>
        </w:pPr>
        <w:r>
          <w:fldChar w:fldCharType="begin"/>
        </w:r>
        <w:r>
          <w:instrText>PAGE   \* MERGEFORMAT</w:instrText>
        </w:r>
        <w:r>
          <w:fldChar w:fldCharType="separate"/>
        </w:r>
        <w:r w:rsidR="00125B43">
          <w:rPr>
            <w:noProof/>
          </w:rPr>
          <w:t>2</w:t>
        </w:r>
        <w:r>
          <w:fldChar w:fldCharType="end"/>
        </w:r>
      </w:p>
    </w:sdtContent>
  </w:sdt>
  <w:p w14:paraId="63D1705C" w14:textId="77777777" w:rsidR="006D1079" w:rsidRDefault="006D10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5B6C" w14:textId="77777777" w:rsidR="006D1079" w:rsidRDefault="006D1079" w:rsidP="006D1079">
      <w:pPr>
        <w:spacing w:after="0" w:line="240" w:lineRule="auto"/>
      </w:pPr>
      <w:r>
        <w:separator/>
      </w:r>
    </w:p>
  </w:footnote>
  <w:footnote w:type="continuationSeparator" w:id="0">
    <w:p w14:paraId="1E3C7A05" w14:textId="77777777" w:rsidR="006D1079" w:rsidRDefault="006D1079" w:rsidP="006D1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D2D"/>
    <w:multiLevelType w:val="hybridMultilevel"/>
    <w:tmpl w:val="3B0E07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2E4590"/>
    <w:multiLevelType w:val="hybridMultilevel"/>
    <w:tmpl w:val="75384DA4"/>
    <w:lvl w:ilvl="0" w:tplc="33B4D88E">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093577F"/>
    <w:multiLevelType w:val="hybridMultilevel"/>
    <w:tmpl w:val="438CBDA8"/>
    <w:lvl w:ilvl="0" w:tplc="FFFFFFFF">
      <w:numFmt w:val="bullet"/>
      <w:lvlText w:val=""/>
      <w:lvlJc w:val="left"/>
      <w:pPr>
        <w:ind w:left="36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0C5605E"/>
    <w:multiLevelType w:val="hybridMultilevel"/>
    <w:tmpl w:val="80F0E4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4AD464D"/>
    <w:multiLevelType w:val="hybridMultilevel"/>
    <w:tmpl w:val="8FDA38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9450822"/>
    <w:multiLevelType w:val="hybridMultilevel"/>
    <w:tmpl w:val="95E4AFF0"/>
    <w:lvl w:ilvl="0" w:tplc="04250001">
      <w:start w:val="1"/>
      <w:numFmt w:val="bullet"/>
      <w:lvlText w:val=""/>
      <w:lvlJc w:val="left"/>
      <w:pPr>
        <w:ind w:left="720" w:hanging="360"/>
      </w:pPr>
      <w:rPr>
        <w:rFonts w:ascii="Symbol" w:hAnsi="Symbol" w:hint="default"/>
      </w:rPr>
    </w:lvl>
    <w:lvl w:ilvl="1" w:tplc="080ACCB4">
      <w:numFmt w:val="bullet"/>
      <w:lvlText w:val="•"/>
      <w:lvlJc w:val="left"/>
      <w:pPr>
        <w:ind w:left="1440" w:hanging="360"/>
      </w:pPr>
      <w:rPr>
        <w:rFonts w:ascii="Calibri" w:eastAsia="Calibri" w:hAnsi="Calibri" w:cs="Calibri" w:hint="default"/>
        <w:b w:val="0"/>
        <w:i w:val="0"/>
        <w:color w:val="auto"/>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8A3BF8"/>
    <w:multiLevelType w:val="hybridMultilevel"/>
    <w:tmpl w:val="75C44D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BA0ABD"/>
    <w:multiLevelType w:val="hybridMultilevel"/>
    <w:tmpl w:val="5F4C598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2E779F6"/>
    <w:multiLevelType w:val="multilevel"/>
    <w:tmpl w:val="571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E4308"/>
    <w:multiLevelType w:val="hybridMultilevel"/>
    <w:tmpl w:val="A774A72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5DB5FCB"/>
    <w:multiLevelType w:val="hybridMultilevel"/>
    <w:tmpl w:val="4D1464A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6E063CB"/>
    <w:multiLevelType w:val="hybridMultilevel"/>
    <w:tmpl w:val="62663AA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4D8B15F2"/>
    <w:multiLevelType w:val="hybridMultilevel"/>
    <w:tmpl w:val="1D5CA4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3F237CC"/>
    <w:multiLevelType w:val="hybridMultilevel"/>
    <w:tmpl w:val="613E00E6"/>
    <w:lvl w:ilvl="0" w:tplc="4C4696B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C3348F3"/>
    <w:multiLevelType w:val="hybridMultilevel"/>
    <w:tmpl w:val="477AA27A"/>
    <w:lvl w:ilvl="0" w:tplc="73AE75F8">
      <w:numFmt w:val="bullet"/>
      <w:lvlText w:val=""/>
      <w:lvlJc w:val="left"/>
      <w:pPr>
        <w:ind w:left="360" w:hanging="360"/>
      </w:pPr>
      <w:rPr>
        <w:rFonts w:ascii="Symbol" w:eastAsia="Calibri" w:hAnsi="Symbol"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5" w15:restartNumberingAfterBreak="0">
    <w:nsid w:val="5D486796"/>
    <w:multiLevelType w:val="hybridMultilevel"/>
    <w:tmpl w:val="403A55D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673D6ADE"/>
    <w:multiLevelType w:val="multilevel"/>
    <w:tmpl w:val="066CBDF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68E610A8"/>
    <w:multiLevelType w:val="hybridMultilevel"/>
    <w:tmpl w:val="3F564B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6AF50308"/>
    <w:multiLevelType w:val="hybridMultilevel"/>
    <w:tmpl w:val="0EB8E8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14"/>
  </w:num>
  <w:num w:numId="6">
    <w:abstractNumId w:val="12"/>
  </w:num>
  <w:num w:numId="7">
    <w:abstractNumId w:val="8"/>
  </w:num>
  <w:num w:numId="8">
    <w:abstractNumId w:val="13"/>
  </w:num>
  <w:num w:numId="9">
    <w:abstractNumId w:val="11"/>
  </w:num>
  <w:num w:numId="10">
    <w:abstractNumId w:val="2"/>
  </w:num>
  <w:num w:numId="11">
    <w:abstractNumId w:val="17"/>
  </w:num>
  <w:num w:numId="12">
    <w:abstractNumId w:val="3"/>
  </w:num>
  <w:num w:numId="13">
    <w:abstractNumId w:val="16"/>
  </w:num>
  <w:num w:numId="14">
    <w:abstractNumId w:val="10"/>
  </w:num>
  <w:num w:numId="15">
    <w:abstractNumId w:val="4"/>
  </w:num>
  <w:num w:numId="16">
    <w:abstractNumId w:val="5"/>
  </w:num>
  <w:num w:numId="17">
    <w:abstractNumId w:val="15"/>
  </w:num>
  <w:num w:numId="18">
    <w:abstractNumId w:val="18"/>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u Lihtmaa">
    <w15:presenceInfo w15:providerId="AD" w15:userId="S-1-5-21-2009196460-3307222142-1538888278-1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6E"/>
    <w:rsid w:val="000355C2"/>
    <w:rsid w:val="0004740B"/>
    <w:rsid w:val="000B551B"/>
    <w:rsid w:val="000C2AFC"/>
    <w:rsid w:val="000C7635"/>
    <w:rsid w:val="00101DAF"/>
    <w:rsid w:val="001059C8"/>
    <w:rsid w:val="0011032D"/>
    <w:rsid w:val="00125B43"/>
    <w:rsid w:val="00127EA4"/>
    <w:rsid w:val="00131AAE"/>
    <w:rsid w:val="00172088"/>
    <w:rsid w:val="00186377"/>
    <w:rsid w:val="001B2B6E"/>
    <w:rsid w:val="001B742B"/>
    <w:rsid w:val="001D6211"/>
    <w:rsid w:val="001F7413"/>
    <w:rsid w:val="00206C7A"/>
    <w:rsid w:val="0022203B"/>
    <w:rsid w:val="002B0C37"/>
    <w:rsid w:val="002C222C"/>
    <w:rsid w:val="002E1299"/>
    <w:rsid w:val="003A462E"/>
    <w:rsid w:val="003B0C0C"/>
    <w:rsid w:val="003C7B3F"/>
    <w:rsid w:val="003D2CE1"/>
    <w:rsid w:val="003D4A2C"/>
    <w:rsid w:val="003D6FEE"/>
    <w:rsid w:val="003F48CF"/>
    <w:rsid w:val="00403122"/>
    <w:rsid w:val="00417A7F"/>
    <w:rsid w:val="004521D3"/>
    <w:rsid w:val="0047224A"/>
    <w:rsid w:val="0047780F"/>
    <w:rsid w:val="00497DC2"/>
    <w:rsid w:val="004B6291"/>
    <w:rsid w:val="004F4C70"/>
    <w:rsid w:val="00501DCE"/>
    <w:rsid w:val="0050302F"/>
    <w:rsid w:val="005123C0"/>
    <w:rsid w:val="00574B2F"/>
    <w:rsid w:val="00581450"/>
    <w:rsid w:val="005E1C33"/>
    <w:rsid w:val="005E25C7"/>
    <w:rsid w:val="005F3747"/>
    <w:rsid w:val="006019FE"/>
    <w:rsid w:val="00627A61"/>
    <w:rsid w:val="00665F94"/>
    <w:rsid w:val="0068292C"/>
    <w:rsid w:val="006A6EB2"/>
    <w:rsid w:val="006D1079"/>
    <w:rsid w:val="007368C9"/>
    <w:rsid w:val="00737A4D"/>
    <w:rsid w:val="00741803"/>
    <w:rsid w:val="007B1E76"/>
    <w:rsid w:val="007C75A5"/>
    <w:rsid w:val="00806200"/>
    <w:rsid w:val="008666CA"/>
    <w:rsid w:val="00867802"/>
    <w:rsid w:val="0087470E"/>
    <w:rsid w:val="008C6073"/>
    <w:rsid w:val="008C6785"/>
    <w:rsid w:val="008D7AAE"/>
    <w:rsid w:val="008E0E07"/>
    <w:rsid w:val="00935A2B"/>
    <w:rsid w:val="00951AD1"/>
    <w:rsid w:val="00957CB7"/>
    <w:rsid w:val="00965BAF"/>
    <w:rsid w:val="00981FD2"/>
    <w:rsid w:val="009A552D"/>
    <w:rsid w:val="009E34A1"/>
    <w:rsid w:val="009F3C4E"/>
    <w:rsid w:val="00A003B5"/>
    <w:rsid w:val="00A01593"/>
    <w:rsid w:val="00A06863"/>
    <w:rsid w:val="00A2713D"/>
    <w:rsid w:val="00A965EF"/>
    <w:rsid w:val="00AA318B"/>
    <w:rsid w:val="00AA51F7"/>
    <w:rsid w:val="00AB04F0"/>
    <w:rsid w:val="00AB7910"/>
    <w:rsid w:val="00AC3B57"/>
    <w:rsid w:val="00B414B1"/>
    <w:rsid w:val="00BB1557"/>
    <w:rsid w:val="00BB1A9F"/>
    <w:rsid w:val="00BC2001"/>
    <w:rsid w:val="00BD59FB"/>
    <w:rsid w:val="00BE0287"/>
    <w:rsid w:val="00C3436D"/>
    <w:rsid w:val="00C417A9"/>
    <w:rsid w:val="00C433D2"/>
    <w:rsid w:val="00C544CE"/>
    <w:rsid w:val="00CA1BBA"/>
    <w:rsid w:val="00CB0D92"/>
    <w:rsid w:val="00CB7F82"/>
    <w:rsid w:val="00CE74A9"/>
    <w:rsid w:val="00D06B64"/>
    <w:rsid w:val="00D23F8B"/>
    <w:rsid w:val="00D44E53"/>
    <w:rsid w:val="00DA46AF"/>
    <w:rsid w:val="00E44E3A"/>
    <w:rsid w:val="00E77D84"/>
    <w:rsid w:val="00E8491B"/>
    <w:rsid w:val="00E95EC0"/>
    <w:rsid w:val="00EA7C66"/>
    <w:rsid w:val="00EB4C59"/>
    <w:rsid w:val="00EF01B4"/>
    <w:rsid w:val="00EF7149"/>
    <w:rsid w:val="00EF7252"/>
    <w:rsid w:val="00F152DC"/>
    <w:rsid w:val="00F750F5"/>
    <w:rsid w:val="00FB68C5"/>
    <w:rsid w:val="00FC3BFE"/>
    <w:rsid w:val="00FD7271"/>
    <w:rsid w:val="00FE621A"/>
    <w:rsid w:val="06FF1C34"/>
    <w:rsid w:val="37863005"/>
    <w:rsid w:val="588AD0F5"/>
    <w:rsid w:val="6EEF542C"/>
    <w:rsid w:val="709B6345"/>
    <w:rsid w:val="71F34F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D950"/>
  <w15:chartTrackingRefBased/>
  <w15:docId w15:val="{A92AB67C-AC56-4982-9AC3-EC5F52CB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2713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A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3A462E"/>
    <w:rPr>
      <w:sz w:val="16"/>
      <w:szCs w:val="16"/>
    </w:rPr>
  </w:style>
  <w:style w:type="paragraph" w:styleId="Kommentaaritekst">
    <w:name w:val="annotation text"/>
    <w:basedOn w:val="Normaallaad"/>
    <w:link w:val="KommentaaritekstMrk"/>
    <w:uiPriority w:val="99"/>
    <w:unhideWhenUsed/>
    <w:rsid w:val="003A462E"/>
    <w:pPr>
      <w:spacing w:line="240" w:lineRule="auto"/>
    </w:pPr>
    <w:rPr>
      <w:sz w:val="20"/>
      <w:szCs w:val="20"/>
    </w:rPr>
  </w:style>
  <w:style w:type="character" w:customStyle="1" w:styleId="KommentaaritekstMrk">
    <w:name w:val="Kommentaari tekst Märk"/>
    <w:basedOn w:val="Liguvaikefont"/>
    <w:link w:val="Kommentaaritekst"/>
    <w:uiPriority w:val="99"/>
    <w:rsid w:val="003A462E"/>
    <w:rPr>
      <w:sz w:val="20"/>
      <w:szCs w:val="20"/>
    </w:rPr>
  </w:style>
  <w:style w:type="paragraph" w:styleId="Jutumullitekst">
    <w:name w:val="Balloon Text"/>
    <w:basedOn w:val="Normaallaad"/>
    <w:link w:val="JutumullitekstMrk"/>
    <w:uiPriority w:val="99"/>
    <w:semiHidden/>
    <w:unhideWhenUsed/>
    <w:rsid w:val="003A46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A462E"/>
    <w:rPr>
      <w:rFonts w:ascii="Segoe UI" w:hAnsi="Segoe UI" w:cs="Segoe UI"/>
      <w:sz w:val="18"/>
      <w:szCs w:val="18"/>
    </w:rPr>
  </w:style>
  <w:style w:type="paragraph" w:styleId="Normaallaadveeb">
    <w:name w:val="Normal (Web)"/>
    <w:basedOn w:val="Normaallaad"/>
    <w:uiPriority w:val="99"/>
    <w:unhideWhenUsed/>
    <w:rsid w:val="003A462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ema">
    <w:name w:val="annotation subject"/>
    <w:basedOn w:val="Kommentaaritekst"/>
    <w:next w:val="Kommentaaritekst"/>
    <w:link w:val="KommentaariteemaMrk"/>
    <w:uiPriority w:val="99"/>
    <w:semiHidden/>
    <w:unhideWhenUsed/>
    <w:rsid w:val="003A462E"/>
    <w:rPr>
      <w:b/>
      <w:bCs/>
    </w:rPr>
  </w:style>
  <w:style w:type="character" w:customStyle="1" w:styleId="KommentaariteemaMrk">
    <w:name w:val="Kommentaari teema Märk"/>
    <w:basedOn w:val="KommentaaritekstMrk"/>
    <w:link w:val="Kommentaariteema"/>
    <w:uiPriority w:val="99"/>
    <w:semiHidden/>
    <w:rsid w:val="003A462E"/>
    <w:rPr>
      <w:b/>
      <w:bCs/>
      <w:sz w:val="20"/>
      <w:szCs w:val="20"/>
    </w:rPr>
  </w:style>
  <w:style w:type="paragraph" w:styleId="Pis">
    <w:name w:val="header"/>
    <w:basedOn w:val="Normaallaad"/>
    <w:link w:val="PisMrk"/>
    <w:uiPriority w:val="99"/>
    <w:unhideWhenUsed/>
    <w:rsid w:val="006D1079"/>
    <w:pPr>
      <w:tabs>
        <w:tab w:val="center" w:pos="4536"/>
        <w:tab w:val="right" w:pos="9072"/>
      </w:tabs>
      <w:spacing w:after="0" w:line="240" w:lineRule="auto"/>
    </w:pPr>
  </w:style>
  <w:style w:type="character" w:customStyle="1" w:styleId="PisMrk">
    <w:name w:val="Päis Märk"/>
    <w:basedOn w:val="Liguvaikefont"/>
    <w:link w:val="Pis"/>
    <w:uiPriority w:val="99"/>
    <w:rsid w:val="006D1079"/>
  </w:style>
  <w:style w:type="paragraph" w:styleId="Jalus">
    <w:name w:val="footer"/>
    <w:basedOn w:val="Normaallaad"/>
    <w:link w:val="JalusMrk"/>
    <w:uiPriority w:val="99"/>
    <w:unhideWhenUsed/>
    <w:rsid w:val="006D1079"/>
    <w:pPr>
      <w:tabs>
        <w:tab w:val="center" w:pos="4536"/>
        <w:tab w:val="right" w:pos="9072"/>
      </w:tabs>
      <w:spacing w:after="0" w:line="240" w:lineRule="auto"/>
    </w:pPr>
  </w:style>
  <w:style w:type="character" w:customStyle="1" w:styleId="JalusMrk">
    <w:name w:val="Jalus Märk"/>
    <w:basedOn w:val="Liguvaikefont"/>
    <w:link w:val="Jalus"/>
    <w:uiPriority w:val="99"/>
    <w:rsid w:val="006D1079"/>
  </w:style>
  <w:style w:type="paragraph" w:styleId="Loendilik">
    <w:name w:val="List Paragraph"/>
    <w:basedOn w:val="Normaallaad"/>
    <w:uiPriority w:val="34"/>
    <w:qFormat/>
    <w:rsid w:val="009E34A1"/>
    <w:pPr>
      <w:ind w:left="720"/>
      <w:contextualSpacing/>
    </w:pPr>
  </w:style>
  <w:style w:type="character" w:styleId="Tugev">
    <w:name w:val="Strong"/>
    <w:basedOn w:val="Liguvaikefont"/>
    <w:uiPriority w:val="22"/>
    <w:qFormat/>
    <w:rsid w:val="00E84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2009">
      <w:bodyDiv w:val="1"/>
      <w:marLeft w:val="0"/>
      <w:marRight w:val="0"/>
      <w:marTop w:val="0"/>
      <w:marBottom w:val="0"/>
      <w:divBdr>
        <w:top w:val="none" w:sz="0" w:space="0" w:color="auto"/>
        <w:left w:val="none" w:sz="0" w:space="0" w:color="auto"/>
        <w:bottom w:val="none" w:sz="0" w:space="0" w:color="auto"/>
        <w:right w:val="none" w:sz="0" w:space="0" w:color="auto"/>
      </w:divBdr>
    </w:div>
    <w:div w:id="169178477">
      <w:bodyDiv w:val="1"/>
      <w:marLeft w:val="0"/>
      <w:marRight w:val="0"/>
      <w:marTop w:val="0"/>
      <w:marBottom w:val="0"/>
      <w:divBdr>
        <w:top w:val="none" w:sz="0" w:space="0" w:color="auto"/>
        <w:left w:val="none" w:sz="0" w:space="0" w:color="auto"/>
        <w:bottom w:val="none" w:sz="0" w:space="0" w:color="auto"/>
        <w:right w:val="none" w:sz="0" w:space="0" w:color="auto"/>
      </w:divBdr>
    </w:div>
    <w:div w:id="1747258972">
      <w:bodyDiv w:val="1"/>
      <w:marLeft w:val="0"/>
      <w:marRight w:val="0"/>
      <w:marTop w:val="0"/>
      <w:marBottom w:val="0"/>
      <w:divBdr>
        <w:top w:val="none" w:sz="0" w:space="0" w:color="auto"/>
        <w:left w:val="none" w:sz="0" w:space="0" w:color="auto"/>
        <w:bottom w:val="none" w:sz="0" w:space="0" w:color="auto"/>
        <w:right w:val="none" w:sz="0" w:space="0" w:color="auto"/>
      </w:divBdr>
    </w:div>
    <w:div w:id="2047638257">
      <w:bodyDiv w:val="1"/>
      <w:marLeft w:val="0"/>
      <w:marRight w:val="0"/>
      <w:marTop w:val="0"/>
      <w:marBottom w:val="0"/>
      <w:divBdr>
        <w:top w:val="none" w:sz="0" w:space="0" w:color="auto"/>
        <w:left w:val="none" w:sz="0" w:space="0" w:color="auto"/>
        <w:bottom w:val="none" w:sz="0" w:space="0" w:color="auto"/>
        <w:right w:val="none" w:sz="0" w:space="0" w:color="auto"/>
      </w:divBdr>
    </w:div>
    <w:div w:id="20630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D8ED8AE225DF4EA6D48A945EFE65E7" ma:contentTypeVersion="1" ma:contentTypeDescription="Loo uus dokument" ma:contentTypeScope="" ma:versionID="0fe59eb82dcf060ea216e135c9671f6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035B6-8FF6-4BF1-82AD-016D4EA756CD}">
  <ds:schemaRefs>
    <ds:schemaRef ds:uri="http://www.w3.org/XML/1998/namespace"/>
    <ds:schemaRef ds:uri="http://schemas.microsoft.com/office/2006/documentManagement/types"/>
    <ds:schemaRef ds:uri="http://purl.org/dc/elements/1.1/"/>
    <ds:schemaRef ds:uri="http://purl.org/dc/terms/"/>
    <ds:schemaRef ds:uri="a7338fc0-1f71-47ca-af62-527eb90cb0f3"/>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835803B-B5A3-4F6F-B381-B008F4D73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7EE9D-815D-44F0-9800-84E58895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1087</Words>
  <Characters>6311</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Lihtmaa</dc:creator>
  <cp:keywords/>
  <dc:description/>
  <cp:lastModifiedBy>Anu Lihtmaa</cp:lastModifiedBy>
  <cp:revision>37</cp:revision>
  <dcterms:created xsi:type="dcterms:W3CDTF">2021-11-30T14:04:00Z</dcterms:created>
  <dcterms:modified xsi:type="dcterms:W3CDTF">2021-12-10T15:33:00Z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0x010100AED8ED8AE225DF4EA6D48A945EFE65E7</vt:lpwstr>
  </property>
</Properties>
</file>